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B8807" w14:textId="77777777" w:rsidR="00947D72" w:rsidRPr="00BD1DA7" w:rsidRDefault="00947D72">
      <w:pPr>
        <w:rPr>
          <w:lang w:val="ro-RO"/>
        </w:rPr>
      </w:pPr>
    </w:p>
    <w:p w14:paraId="1B8E4ACA" w14:textId="77777777" w:rsidR="00947D72" w:rsidRPr="00BD1DA7" w:rsidRDefault="00947D72">
      <w:pPr>
        <w:rPr>
          <w:lang w:val="ro-RO"/>
        </w:rPr>
      </w:pPr>
    </w:p>
    <w:p w14:paraId="3CD7DD7B" w14:textId="77777777" w:rsidR="00947D72" w:rsidRPr="00BD1DA7" w:rsidRDefault="00947D72">
      <w:pPr>
        <w:rPr>
          <w:lang w:val="ro-RO"/>
        </w:rPr>
      </w:pPr>
    </w:p>
    <w:p w14:paraId="40589711" w14:textId="77777777" w:rsidR="00947D72" w:rsidRPr="00BD1DA7" w:rsidRDefault="00000000">
      <w:pPr>
        <w:spacing w:after="200"/>
        <w:jc w:val="center"/>
        <w:rPr>
          <w:lang w:val="ro-RO"/>
        </w:rPr>
      </w:pPr>
      <w:r>
        <w:rPr>
          <w:rFonts w:eastAsia="Carlito"/>
          <w:b/>
          <w:color w:val="17324D"/>
          <w:sz w:val="54"/>
          <w:lang w:val="ro-RO"/>
        </w:rPr>
        <w:t>Evoluția cenzurii și a controlului</w:t>
        <w:br/>
        <w:t>informațional în România</w:t>
      </w:r>
    </w:p>
    <w:p w14:paraId="21A849C9" w14:textId="77777777" w:rsidR="00947D72" w:rsidRPr="00BD1DA7" w:rsidRDefault="00000000">
      <w:pPr>
        <w:spacing w:after="320"/>
        <w:jc w:val="center"/>
        <w:rPr>
          <w:lang w:val="ro-RO"/>
        </w:rPr>
      </w:pPr>
      <w:r>
        <w:rPr>
          <w:lang w:val="ro-RO"/>
        </w:rPr>
        <w:t>De la represiunea politică la guvernanța algoritmică și cultura anulării</w:t>
        <w:br/>
        <w:t>Memorie, operă, reputație și ambiguitatea „apărării democrației”</w:t>
      </w:r>
    </w:p>
    <w:p w14:paraId="502358FE" w14:textId="77777777" w:rsidR="00947D72" w:rsidRPr="00BD1DA7" w:rsidRDefault="00947D72">
      <w:pPr>
        <w:pBdr>
          <w:bottom w:val="single" w:sz="28" w:space="1" w:color="2C6975"/>
        </w:pBdr>
        <w:spacing w:after="140"/>
        <w:rPr>
          <w:lang w:val="ro-RO"/>
        </w:rPr>
      </w:pPr>
    </w:p>
    <w:p w14:paraId="7719F238" w14:textId="77777777" w:rsidR="00947D72" w:rsidRPr="00BD1DA7" w:rsidRDefault="00000000">
      <w:pPr>
        <w:spacing w:before="280"/>
        <w:jc w:val="center"/>
        <w:rPr>
          <w:lang w:val="ro-RO"/>
        </w:rPr>
      </w:pPr>
      <w:r>
        <w:rPr>
          <w:lang w:val="ro-RO"/>
        </w:rPr>
        <w:t>EDIȚIE REVIZUITĂ ȘI EXTINSĂ - VERSIUNEA III</w:t>
      </w:r>
    </w:p>
    <w:p w14:paraId="396E4867" w14:textId="77777777" w:rsidR="00947D72" w:rsidRPr="00BD1DA7" w:rsidRDefault="00000000">
      <w:pPr>
        <w:jc w:val="center"/>
        <w:rPr>
          <w:lang w:val="ro-RO"/>
        </w:rPr>
      </w:pPr>
      <w:r>
        <w:rPr>
          <w:rFonts w:eastAsia="Carlito"/>
          <w:color w:val="6C7A86"/>
          <w:lang w:val="ro-RO"/>
        </w:rPr>
        <w:t>11 august 2026</w:t>
      </w:r>
    </w:p>
    <w:p w14:paraId="56DC6D36" w14:textId="77777777" w:rsidR="00947D72" w:rsidRPr="00BD1DA7" w:rsidRDefault="00947D72">
      <w:pPr>
        <w:rPr>
          <w:lang w:val="ro-RO"/>
        </w:rPr>
      </w:pPr>
    </w:p>
    <w:p w14:paraId="615689A1" w14:textId="77777777" w:rsidR="00947D72" w:rsidRPr="00BD1DA7" w:rsidRDefault="00947D72">
      <w:pPr>
        <w:rPr>
          <w:lang w:val="ro-RO"/>
        </w:rPr>
      </w:pPr>
    </w:p>
    <w:p w14:paraId="4FEADD99" w14:textId="77777777" w:rsidR="00947D72" w:rsidRPr="00BD1DA7" w:rsidRDefault="00947D72">
      <w:pPr>
        <w:rPr>
          <w:lang w:val="ro-RO"/>
        </w:rPr>
      </w:pPr>
    </w:p>
    <w:p w14:paraId="004416F2" w14:textId="77777777" w:rsidR="00947D72" w:rsidRPr="00BD1DA7" w:rsidRDefault="00947D72">
      <w:pPr>
        <w:rPr>
          <w:lang w:val="ro-RO"/>
        </w:rPr>
      </w:pPr>
    </w:p>
    <w:tbl>
      <w:tblPr>
        <w:tblW w:w="0" w:type="auto"/>
        <w:jc w:val="center"/>
        <w:tblBorders>
          <w:top w:val="single" w:sz="6" w:space="0" w:color="CBD5DB"/>
          <w:left w:val="single" w:sz="6" w:space="0" w:color="CBD5DB"/>
          <w:bottom w:val="single" w:sz="6" w:space="0" w:color="CBD5DB"/>
          <w:right w:val="single" w:sz="6" w:space="0" w:color="CBD5DB"/>
          <w:insideH w:val="single" w:sz="6" w:space="0" w:color="CBD5DB"/>
          <w:insideV w:val="single" w:sz="6" w:space="0" w:color="CBD5DB"/>
        </w:tblBorders>
        <w:tblLook w:val="04A0" w:firstRow="1" w:lastRow="0" w:firstColumn="1" w:lastColumn="0" w:noHBand="0" w:noVBand="1"/>
      </w:tblPr>
      <w:tblGrid>
        <w:gridCol w:w="9862"/>
      </w:tblGrid>
      <w:tr w:rsidR="00947D72" w:rsidRPr="00BD1DA7" w14:paraId="21E72A29" w14:textId="77777777">
        <w:trPr>
          <w:cantSplit/>
          <w:jc w:val="center"/>
        </w:trPr>
        <w:tc>
          <w:tcPr>
            <w:tcW w:w="9878" w:type="dxa"/>
            <w:shd w:val="clear" w:color="auto" w:fill="F5F7F8"/>
            <w:tcMar>
              <w:top w:w="160" w:type="dxa"/>
              <w:left w:w="180" w:type="dxa"/>
              <w:bottom w:w="160" w:type="dxa"/>
              <w:right w:w="180" w:type="dxa"/>
            </w:tcMar>
          </w:tcPr>
          <w:p w14:paraId="4F30E5A7" w14:textId="02992E80" w:rsidR="00947D72" w:rsidRPr="00BD1DA7" w:rsidRDefault="00172331">
            <w:pPr>
              <w:jc w:val="center"/>
              <w:rPr>
                <w:lang w:val="ro-RO"/>
              </w:rPr>
            </w:pPr>
            <w:r>
              <w:rPr>
                <w:rFonts w:eastAsia="Carlito"/>
                <w:color w:val="20262B"/>
                <w:sz w:val="18"/>
                <w:lang w:val="ro-RO"/>
              </w:rPr>
              <w:t xml:space="preserve">Raport cu delimitarea faptelor de interpretări, corectarea erorilor și actualizarea cadrului juridic și electoral până în august 2026.</w:t>
            </w:r>
          </w:p>
        </w:tc>
      </w:tr>
    </w:tbl>
    <w:p w14:paraId="3C493DBD" w14:textId="77777777" w:rsidR="00947D72" w:rsidRPr="00BD1DA7" w:rsidRDefault="00000000">
      <w:pPr>
        <w:spacing w:before="360"/>
        <w:jc w:val="center"/>
        <w:rPr>
          <w:lang w:val="ro-RO"/>
        </w:rPr>
      </w:pPr>
      <w:r>
        <w:rPr>
          <w:rFonts w:eastAsia="Carlito"/>
          <w:i/>
          <w:color w:val="6C7A86"/>
          <w:sz w:val="19"/>
          <w:lang w:val="ro-RO"/>
        </w:rPr>
        <w:t>Raport analitic - versiune pentru lucru și dezbatere</w:t>
      </w:r>
    </w:p>
    <w:p w14:paraId="60D24324" w14:textId="77777777" w:rsidR="00947D72" w:rsidRPr="00BD1DA7" w:rsidRDefault="00000000">
      <w:pPr>
        <w:rPr>
          <w:lang w:val="ro-RO"/>
        </w:rPr>
      </w:pPr>
      <w:r>
        <w:rPr>
          <w:rFonts w:eastAsia="Carlito"/>
          <w:lang w:val="ro-RO"/>
        </w:rPr>
        <w:br w:type="page"/>
      </w:r>
    </w:p>
    <w:p w14:paraId="7D66A0DA" w14:textId="77777777" w:rsidR="00947D72" w:rsidRPr="00BD1DA7" w:rsidRDefault="00000000">
      <w:pPr>
        <w:pStyle w:val="Heading1"/>
        <w:spacing w:before="220" w:after="100"/>
        <w:rPr>
          <w:lang w:val="ro-RO"/>
        </w:rPr>
      </w:pPr>
      <w:r>
        <w:rPr>
          <w:rFonts w:ascii="Carlito" w:eastAsia="Carlito" w:hAnsi="Carlito"/>
          <w:color w:val="17324D"/>
          <w:sz w:val="34"/>
          <w:lang w:val="ro-RO"/>
        </w:rPr>
        <w:lastRenderedPageBreak/>
        <w:t>Notă editorială și metodologică</w:t>
      </w:r>
    </w:p>
    <w:p w14:paraId="6535D729" w14:textId="77777777" w:rsidR="00947D72" w:rsidRPr="00BD1DA7" w:rsidRDefault="00000000">
      <w:pPr>
        <w:rPr>
          <w:lang w:val="ro-RO"/>
        </w:rPr>
      </w:pPr>
      <w:r>
        <w:rPr>
          <w:rFonts w:eastAsia="Carlito"/>
          <w:color w:val="20262B"/>
          <w:lang w:val="ro-RO"/>
        </w:rPr>
        <w:t>Această ediție păstrează întrebarea centrală a versiunii inițiale - cum se transformă mecanismele prin care puterea, instituțiile și infrastructurile de comunicare influențează ceea ce poate fi spus, publicat, distribuit și auzit - dar renunță la premisa că toate aceste mecanisme sunt identice. O execuție politică, cenzura prealabilă, detenția unui scriitor, propaganda de stat, presiunea economică asupra unei redacții, moderarea unui cont de platformă și anularea unui scrutin sunt fenomene diferite. Ele pot fi analizate în aceeași istorie a controlului informațional numai dacă diferențele juridice, instituționale și morale rămân vizibile.</w:t>
      </w:r>
    </w:p>
    <w:p w14:paraId="5D8C256C" w14:textId="77777777" w:rsidR="00947D72" w:rsidRPr="00BD1DA7" w:rsidRDefault="00000000">
      <w:pPr>
        <w:rPr>
          <w:lang w:val="ro-RO"/>
        </w:rPr>
      </w:pPr>
      <w:r>
        <w:rPr>
          <w:rFonts w:eastAsia="Carlito"/>
          <w:color w:val="20262B"/>
          <w:lang w:val="ro-RO"/>
        </w:rPr>
        <w:t>În consecință, termenul „cenzură” este folosit aici într-un sens strict atunci când o autoritate sau un actor cu putere de control împiedică ori condiționează publicarea sau circulația expresiei. Pentru fenomene mai largi folosim noțiuni distincte: represiune politică, propagandă, control editorial, captură economică, moderare de conținut, amplificare sau demotare algoritmică și măsuri de integritate electorală. Această taxonomie este esențială pentru a evita echivalențe false.</w:t>
      </w:r>
    </w:p>
    <w:p w14:paraId="64847ECB" w14:textId="77777777" w:rsidR="00947D72" w:rsidRPr="00BD1DA7" w:rsidRDefault="00000000">
      <w:pPr>
        <w:rPr>
          <w:lang w:val="ro-RO"/>
        </w:rPr>
      </w:pPr>
      <w:r>
        <w:rPr>
          <w:rFonts w:eastAsia="Carlito"/>
          <w:color w:val="20262B"/>
          <w:lang w:val="ro-RO"/>
        </w:rPr>
        <w:t>Documentul distinge patru niveluri de certitudine: (1) fapte stabilite prin acte normative, hotărâri sau documente instituționale; (2) constatări ale unor organisme de monitorizare; (3) acuzații, evaluări de intelligence sau susțineri aflate în litigiu; (4) interpretări analitice. O teză critică rămâne legitimă, dar nu trebuie prezentată ca fapt doar pentru că este plauzibilă.</w:t>
      </w:r>
    </w:p>
    <w:p w14:paraId="4A01146D" w14:textId="77777777" w:rsidR="00947D72" w:rsidRPr="00BD1DA7" w:rsidRDefault="00000000">
      <w:pPr>
        <w:rPr>
          <w:lang w:val="ro-RO"/>
        </w:rPr>
      </w:pPr>
      <w:r>
        <w:rPr>
          <w:b/>
          <w:lang w:val="ro-RO"/>
        </w:rPr>
        <w:t xml:space="preserve">Ediția a doua extinde analiza către memoria culturală și fenomenul numit „Cancel Culture”. </w:t>
      </w:r>
      <w:r>
        <w:rPr>
          <w:lang w:val="ro-RO"/>
        </w:rPr>
        <w:t>Termenul este folosit descriptiv, nu ca etichetă universală: critica, boicotul și dezacordul nu sunt cenzură în sine; analiza devine relevantă atunci când sancțiunea reputațională, excluderea instituțională, deplatformarea sau hărțuirea produc efecte sistematice de reducere a accesului la public ori de autocenzură.</w:t>
      </w:r>
    </w:p>
    <w:p>
      <w:pPr>
        <w:rPr>
          <w:lang w:val="ro-RO"/>
        </w:rPr>
      </w:pPr>
      <w:r>
        <w:rPr>
          <w:rFonts w:eastAsia="Carlito"/>
          <w:b/>
          <w:color w:val="20262B"/>
          <w:lang w:val="ro-RO"/>
        </w:rPr>
        <w:t xml:space="preserve">Versiunea a treia aduce patru completări. </w:t>
      </w:r>
      <w:r>
        <w:rPr>
          <w:rFonts w:eastAsia="Carlito"/>
          <w:color w:val="20262B"/>
          <w:lang w:val="ro-RO"/>
        </w:rPr>
        <w:t xml:space="preserve">Prima: mecanismul intimidării juridice prin procese-baraj (SLAPP), tratat distinct atât de cenzura administrativă, cât și de sancțiunea reputațională. A doua: ancorarea în cercetare empirică a analizei economiei atenției, pentru ca standardul de probă cerut altor teze să fie aplicat și tezei proprii. A treia: o delimitare explicită a cazuisticii românești în capitolul cultural. A patra: secțiunea despre critica administrată — cazul emisiunii Reflector — care completează tabloul perioadei comuniste (§4.6). Analogiile istorice folosite în text — inclusiv cea a spectacolului public din capitolul 10 — rămân analogii de funcție, nu echivalențe de regim.</w:t>
      </w:r>
    </w:p>
    <w:tbl>
      <w:tblPr>
        <w:tblW w:w="0" w:type="auto"/>
        <w:jc w:val="center"/>
        <w:tblBorders>
          <w:top w:val="single" w:sz="8" w:space="0" w:color="2C6975"/>
          <w:left w:val="single" w:sz="8" w:space="0" w:color="2C6975"/>
          <w:bottom w:val="single" w:sz="8" w:space="0" w:color="2C6975"/>
          <w:right w:val="single" w:sz="8" w:space="0" w:color="2C6975"/>
          <w:insideH w:val="single" w:sz="8" w:space="0" w:color="2C6975"/>
          <w:insideV w:val="single" w:sz="8" w:space="0" w:color="2C6975"/>
        </w:tblBorders>
        <w:tblLook w:val="04A0" w:firstRow="1" w:lastRow="0" w:firstColumn="1" w:lastColumn="0" w:noHBand="0" w:noVBand="1"/>
      </w:tblPr>
      <w:tblGrid>
        <w:gridCol w:w="9858"/>
      </w:tblGrid>
      <w:tr w:rsidR="00947D72" w:rsidRPr="00BD1DA7" w14:paraId="330E9D75" w14:textId="77777777">
        <w:trPr>
          <w:cantSplit/>
          <w:jc w:val="center"/>
        </w:trPr>
        <w:tc>
          <w:tcPr>
            <w:tcW w:w="9878" w:type="dxa"/>
            <w:shd w:val="clear" w:color="auto" w:fill="EAF1F4"/>
            <w:tcMar>
              <w:top w:w="120" w:type="dxa"/>
              <w:left w:w="150" w:type="dxa"/>
              <w:bottom w:w="120" w:type="dxa"/>
              <w:right w:w="150" w:type="dxa"/>
            </w:tcMar>
          </w:tcPr>
          <w:p w14:paraId="26797BE8" w14:textId="77777777" w:rsidR="00947D72" w:rsidRPr="00BD1DA7" w:rsidRDefault="00000000">
            <w:pPr>
              <w:spacing w:after="40"/>
              <w:rPr>
                <w:lang w:val="ro-RO"/>
              </w:rPr>
            </w:pPr>
            <w:r>
              <w:rPr>
                <w:rFonts w:eastAsia="Carlito"/>
                <w:b/>
                <w:color w:val="2C6975"/>
                <w:sz w:val="18"/>
                <w:lang w:val="ro-RO"/>
              </w:rPr>
              <w:t>Limită de utilizare</w:t>
            </w:r>
          </w:p>
          <w:p w14:paraId="1D9332BF" w14:textId="77777777" w:rsidR="00947D72" w:rsidRPr="00BD1DA7" w:rsidRDefault="00000000">
            <w:pPr>
              <w:spacing w:after="0" w:line="252" w:lineRule="auto"/>
              <w:rPr>
                <w:lang w:val="ro-RO"/>
              </w:rPr>
            </w:pPr>
            <w:r>
              <w:rPr>
                <w:rFonts w:eastAsia="Carlito"/>
                <w:color w:val="20262B"/>
                <w:sz w:val="18"/>
                <w:lang w:val="ro-RO"/>
              </w:rPr>
              <w:t>Textul este o analiză istorică, instituțională și juridico-politică, nu o opinie juridică și nu substituie consultarea actelor oficiale ori a unui specialist pentru o speță concretă.</w:t>
            </w:r>
          </w:p>
        </w:tc>
      </w:tr>
    </w:tbl>
    <w:p w14:paraId="52BB63B3" w14:textId="77777777" w:rsidR="00947D72" w:rsidRPr="00BD1DA7" w:rsidRDefault="00947D72">
      <w:pPr>
        <w:spacing w:after="20"/>
        <w:rPr>
          <w:lang w:val="ro-RO"/>
        </w:rPr>
      </w:pPr>
    </w:p>
    <w:p w14:paraId="79ECADD4" w14:textId="77777777" w:rsidR="00947D72" w:rsidRPr="00BD1DA7" w:rsidRDefault="00000000">
      <w:pPr>
        <w:pStyle w:val="Heading1"/>
        <w:spacing w:before="220" w:after="100"/>
        <w:rPr>
          <w:lang w:val="ro-RO"/>
        </w:rPr>
      </w:pPr>
      <w:r>
        <w:rPr>
          <w:rFonts w:ascii="Carlito" w:eastAsia="Carlito" w:hAnsi="Carlito"/>
          <w:color w:val="17324D"/>
          <w:sz w:val="34"/>
          <w:lang w:val="ro-RO"/>
        </w:rPr>
        <w:t>Rezumat executiv</w:t>
      </w:r>
    </w:p>
    <w:p w14:paraId="07D59C20" w14:textId="77777777" w:rsidR="00947D72" w:rsidRPr="00BD1DA7" w:rsidRDefault="00000000">
      <w:pPr>
        <w:rPr>
          <w:lang w:val="ro-RO"/>
        </w:rPr>
      </w:pPr>
      <w:r>
        <w:rPr>
          <w:rFonts w:eastAsia="Carlito"/>
          <w:color w:val="20262B"/>
          <w:lang w:val="ro-RO"/>
        </w:rPr>
        <w:t>Istoria controlului informațional în România nu descrie o linie dreaptă de la „iatagan” la algoritm. Există continuități - tentația puterii de a reduce incertitudinea, de a proteja legitimitatea și de a controla accesul la public -, dar și rupturi majore. Regimurile autoritare și totalitare au folosit coerciția și monopolul instituțional. Regimul constituțional post-1989 interzice cenzura, iar conflictele contemporane se desfășoară într-un cadru pluralist, cu instanțe, presă concurentă, platforme private și norme europene. Aceste diferențe contează.</w:t>
      </w:r>
      <w:r>
        <w:rPr>
          <w:rFonts w:eastAsia="Carlito"/>
          <w:color w:val="2C6975"/>
          <w:sz w:val="16"/>
          <w:vertAlign w:val="superscript"/>
          <w:lang w:val="ro-RO"/>
        </w:rPr>
        <w:t xml:space="preserve"> [S1,S2]</w:t>
      </w:r>
    </w:p>
    <w:p w14:paraId="28D31FB7" w14:textId="77777777" w:rsidR="00947D72" w:rsidRPr="00BD1DA7" w:rsidRDefault="00000000">
      <w:pPr>
        <w:rPr>
          <w:lang w:val="ro-RO"/>
        </w:rPr>
      </w:pPr>
      <w:r>
        <w:rPr>
          <w:rFonts w:eastAsia="Carlito"/>
          <w:color w:val="20262B"/>
          <w:lang w:val="ro-RO"/>
        </w:rPr>
        <w:t>Cea mai clară perioadă de cenzură instituționalizată rămâne regimul comunist. Direcția Generală a Presei și Tipăriturilor, înființată în 1949, a funcționat ca mecanism specializat de control, în paralel cu presiunile editoriale, controlul ideologic al partidului, Securitatea și autocenzura. Desființarea formală a instituției în 1977 nu a echivalat cu dispariția controlului, ci cu dispersarea lui în alte verigi ale sistemului.</w:t>
      </w:r>
      <w:r>
        <w:rPr>
          <w:rFonts w:eastAsia="Carlito"/>
          <w:color w:val="2C6975"/>
          <w:sz w:val="16"/>
          <w:vertAlign w:val="superscript"/>
          <w:lang w:val="ro-RO"/>
        </w:rPr>
        <w:t xml:space="preserve"> [S13,S14]</w:t>
      </w:r>
    </w:p>
    <w:p w14:paraId="467469C6" w14:textId="77777777" w:rsidR="00947D72" w:rsidRPr="00BD1DA7" w:rsidRDefault="00000000">
      <w:pPr>
        <w:rPr>
          <w:lang w:val="ro-RO"/>
        </w:rPr>
      </w:pPr>
      <w:r>
        <w:rPr>
          <w:rFonts w:eastAsia="Carlito"/>
          <w:color w:val="20262B"/>
          <w:lang w:val="ro-RO"/>
        </w:rPr>
        <w:t>După 1989, problema se schimbă. Constituția consacră libertatea de exprimare și interzice explicit „cenzura de orice fel”, iar legislația audiovizuală garantează independența editorială. Riscurile contemporane țin mai frecvent de concentrare economică, dependența de finanțare, publicitate politică netransparentă, polarizare și arhitectura platformelor. Media Pluralism Monitor 2026 evaluează România la un risc general „mediu-ridicat”, cu un risc foarte ridicat pentru pluralitatea pieței; aceste scoruri descriu vulnerabilități structurale, nu dovedesc existența unei cenzuri de stat centralizate.</w:t>
      </w:r>
      <w:r>
        <w:rPr>
          <w:rFonts w:eastAsia="Carlito"/>
          <w:color w:val="2C6975"/>
          <w:sz w:val="16"/>
          <w:vertAlign w:val="superscript"/>
          <w:lang w:val="ro-RO"/>
        </w:rPr>
        <w:t xml:space="preserve"> [S1,S2,S16]</w:t>
      </w:r>
    </w:p>
    <w:p w14:paraId="7B0AB6E7" w14:textId="77777777" w:rsidR="00947D72" w:rsidRPr="00BD1DA7" w:rsidRDefault="00000000">
      <w:pPr>
        <w:rPr>
          <w:lang w:val="ro-RO"/>
        </w:rPr>
      </w:pPr>
      <w:r>
        <w:rPr>
          <w:rFonts w:eastAsia="Carlito"/>
          <w:color w:val="20262B"/>
          <w:lang w:val="ro-RO"/>
        </w:rPr>
        <w:lastRenderedPageBreak/>
        <w:t>Digital Services Act (DSA) nu poate fi descris corect nici ca „lege a cenzurii”, nici ca garanție suficientă împotriva abuzurilor de moderare. Regulamentul introduce obligații de transparență, evaluare a riscurilor și mecanisme de contestare a deciziilor platformelor. În același timp, concentrarea deciziei tehnice asupra vizibilității în platforme private și presiunea de a reduce riscuri sistemice pot produce efecte de supra-moderare dacă aplicarea este opacă sau disproporționată.</w:t>
      </w:r>
      <w:r>
        <w:rPr>
          <w:rFonts w:eastAsia="Carlito"/>
          <w:color w:val="2C6975"/>
          <w:sz w:val="16"/>
          <w:vertAlign w:val="superscript"/>
          <w:lang w:val="ro-RO"/>
        </w:rPr>
        <w:t xml:space="preserve"> [S10,S18]</w:t>
      </w:r>
    </w:p>
    <w:p w14:paraId="6517C449" w14:textId="77777777" w:rsidR="00947D72" w:rsidRPr="00BD1DA7" w:rsidRDefault="00000000">
      <w:pPr>
        <w:rPr>
          <w:lang w:val="ro-RO"/>
        </w:rPr>
      </w:pPr>
      <w:r>
        <w:rPr>
          <w:b/>
          <w:lang w:val="ro-RO"/>
        </w:rPr>
        <w:t xml:space="preserve">În plan cultural, o distincție suplimentară este necesară: </w:t>
      </w:r>
      <w:r>
        <w:rPr>
          <w:lang w:val="ro-RO"/>
        </w:rPr>
        <w:t>opera nu este identică moral cu autorul, iar memoria nu este identică cu celebrarea. Regimurile au instrumentalizat canonul prin selecție și reinterpretare; în prezent, presiunea reputațională și mecanismele de platformă pot modifica vizibilitatea fără o interdicție formală. Fenomenul numit „Cancel Culture” trebuie analizat punctual, fără a confunda critica legitimă cu suprimarea accesului la exprimare. [S24-S26]</w:t>
      </w:r>
    </w:p>
    <w:p w14:paraId="5BD214D6" w14:textId="77777777" w:rsidR="00947D72" w:rsidRPr="00BD1DA7" w:rsidRDefault="00000000">
      <w:pPr>
        <w:rPr>
          <w:lang w:val="ro-RO"/>
        </w:rPr>
      </w:pPr>
      <w:r>
        <w:rPr>
          <w:rFonts w:eastAsia="Carlito"/>
          <w:color w:val="20262B"/>
          <w:lang w:val="ro-RO"/>
        </w:rPr>
        <w:t>Anularea alegerilor prezidențiale din 6 decembrie 2024 este cazul-limită al acestei analize. CCR a anulat întregul proces electoral după declasificarea unor note ale instituțiilor de securitate, considerând că neregularități privind campania digitală, egalitatea de șanse, transparența și finanțarea au viciat procesul. Problema analitică nu este dacă democrația poate fi apărată împotriva manipulării - poate și trebuie -, ci ce standard de probă, procedură, transparență și remediu este necesar atunci când protecția presupune anularea votului deja exprimat.</w:t>
      </w:r>
      <w:r>
        <w:rPr>
          <w:rFonts w:eastAsia="Carlito"/>
          <w:color w:val="2C6975"/>
          <w:sz w:val="16"/>
          <w:vertAlign w:val="superscript"/>
          <w:lang w:val="ro-RO"/>
        </w:rPr>
        <w:t xml:space="preserve"> [S6]</w:t>
      </w:r>
    </w:p>
    <w:p w14:paraId="25763A4C" w14:textId="77777777" w:rsidR="00947D72" w:rsidRPr="00BD1DA7" w:rsidRDefault="00000000">
      <w:pPr>
        <w:rPr>
          <w:lang w:val="ro-RO"/>
        </w:rPr>
      </w:pPr>
      <w:r>
        <w:rPr>
          <w:rFonts w:eastAsia="Carlito"/>
          <w:color w:val="20262B"/>
          <w:lang w:val="ro-RO"/>
        </w:rPr>
        <w:t>Comisia de la Veneția, fără a judeca faptele concrete ale cazului românesc, a formulat în 2025 standarde relevante: anularea trebuie să fie o măsură excepțională, de ultimă instanță; puterea de intervenție ex officio, dacă există, trebuie limitată și clar reglementată; procedura trebuie să ofere garanții împotriva arbitrariului; iar neregularitățile trebuie să fie suficient de semnificative pentru a fi capabile să influențeze rezultatul. Aceste principii oferă o bază mai solidă decât formulele retorice pro sau contra anulării.</w:t>
      </w:r>
      <w:r>
        <w:rPr>
          <w:rFonts w:eastAsia="Carlito"/>
          <w:color w:val="2C6975"/>
          <w:sz w:val="16"/>
          <w:vertAlign w:val="superscript"/>
          <w:lang w:val="ro-RO"/>
        </w:rPr>
        <w:t xml:space="preserve"> [S7]</w:t>
      </w:r>
    </w:p>
    <w:p w14:paraId="43A7464F" w14:textId="77777777" w:rsidR="00947D72" w:rsidRPr="00BD1DA7" w:rsidRDefault="00000000">
      <w:pPr>
        <w:rPr>
          <w:lang w:val="ro-RO"/>
        </w:rPr>
      </w:pPr>
      <w:r>
        <w:rPr>
          <w:rFonts w:eastAsia="Carlito"/>
          <w:color w:val="20262B"/>
          <w:lang w:val="ro-RO"/>
        </w:rPr>
        <w:t>Alegerile repetate din mai 2025 au fost validate, iar ODIHR a apreciat administrarea lor ca eficientă și alegerea ca oferind opțiuni reale, dar a menționat în continuare comportament online neautentic, supraveghere fragmentată și deficiențe de transparență în soluționarea încălcărilor. La sfârșitul lui 2025, 61% dintre respondenții unui sondaj IRES considerau anularea din 2024 greșită, 67% apreciau informațiile publice drept insuficiente, iar 59% considerau comunicarea autorităților netransparentă. Din perspectiva legitimității, această ruptură de încredere este la fel de importantă ca legalitatea formală.</w:t>
      </w:r>
      <w:r>
        <w:rPr>
          <w:rFonts w:eastAsia="Carlito"/>
          <w:color w:val="2C6975"/>
          <w:sz w:val="16"/>
          <w:vertAlign w:val="superscript"/>
          <w:lang w:val="ro-RO"/>
        </w:rPr>
        <w:t xml:space="preserve"> [S11,S12,S20]</w:t>
      </w:r>
    </w:p>
    <w:tbl>
      <w:tblPr>
        <w:tblW w:w="0" w:type="auto"/>
        <w:jc w:val="center"/>
        <w:tblBorders>
          <w:top w:val="single" w:sz="6" w:space="0" w:color="CBD5DB"/>
          <w:left w:val="single" w:sz="6" w:space="0" w:color="CBD5DB"/>
          <w:bottom w:val="single" w:sz="6" w:space="0" w:color="CBD5DB"/>
          <w:right w:val="single" w:sz="6" w:space="0" w:color="CBD5DB"/>
          <w:insideH w:val="single" w:sz="6" w:space="0" w:color="CBD5DB"/>
          <w:insideV w:val="single" w:sz="6" w:space="0" w:color="CBD5DB"/>
        </w:tblBorders>
        <w:tblLayout w:type="fixed"/>
        <w:tblLook w:val="04A0" w:firstRow="1" w:lastRow="0" w:firstColumn="1" w:lastColumn="0" w:noHBand="0" w:noVBand="1"/>
      </w:tblPr>
      <w:tblGrid>
        <w:gridCol w:w="3312"/>
        <w:gridCol w:w="6624"/>
      </w:tblGrid>
      <w:tr w:rsidR="00947D72" w:rsidRPr="00BD1DA7" w14:paraId="2BEE681D" w14:textId="77777777">
        <w:trPr>
          <w:cantSplit/>
          <w:tblHeader/>
          <w:jc w:val="center"/>
        </w:trPr>
        <w:tc>
          <w:tcPr>
            <w:tcW w:w="3312" w:type="dxa"/>
            <w:shd w:val="clear" w:color="auto" w:fill="D9E2F3"/>
            <w:tcMar>
              <w:top w:w="90" w:type="dxa"/>
              <w:left w:w="110" w:type="dxa"/>
              <w:bottom w:w="90" w:type="dxa"/>
              <w:right w:w="110" w:type="dxa"/>
            </w:tcMar>
            <w:vAlign w:val="center"/>
          </w:tcPr>
          <w:p w14:paraId="0341103B" w14:textId="77777777" w:rsidR="00947D72" w:rsidRPr="00BD1DA7" w:rsidRDefault="00000000">
            <w:pPr>
              <w:spacing w:after="0"/>
              <w:jc w:val="center"/>
              <w:rPr>
                <w:lang w:val="ro-RO"/>
              </w:rPr>
            </w:pPr>
            <w:r>
              <w:rPr>
                <w:rFonts w:eastAsia="Carlito"/>
                <w:b/>
                <w:color w:val="FFFFFF"/>
                <w:sz w:val="19"/>
                <w:lang w:val="ro-RO"/>
              </w:rPr>
              <w:t>Întrebarea centrală</w:t>
            </w:r>
          </w:p>
        </w:tc>
        <w:tc>
          <w:tcPr>
            <w:tcW w:w="6624" w:type="dxa"/>
            <w:shd w:val="clear" w:color="auto" w:fill="D9E2F3"/>
            <w:tcMar>
              <w:top w:w="90" w:type="dxa"/>
              <w:left w:w="110" w:type="dxa"/>
              <w:bottom w:w="90" w:type="dxa"/>
              <w:right w:w="110" w:type="dxa"/>
            </w:tcMar>
            <w:vAlign w:val="center"/>
          </w:tcPr>
          <w:p w14:paraId="72185E81" w14:textId="77777777" w:rsidR="00947D72" w:rsidRPr="00BD1DA7" w:rsidRDefault="00000000">
            <w:pPr>
              <w:spacing w:after="0"/>
              <w:jc w:val="center"/>
              <w:rPr>
                <w:lang w:val="ro-RO"/>
              </w:rPr>
            </w:pPr>
            <w:r>
              <w:rPr>
                <w:rFonts w:eastAsia="Carlito"/>
                <w:b/>
                <w:color w:val="FFFFFF"/>
                <w:sz w:val="19"/>
                <w:lang w:val="ro-RO"/>
              </w:rPr>
              <w:t>Răspunsul acestei ediții</w:t>
            </w:r>
          </w:p>
        </w:tc>
      </w:tr>
      <w:tr w:rsidR="00947D72" w:rsidRPr="00BD1DA7" w14:paraId="274A0DF5" w14:textId="77777777">
        <w:trPr>
          <w:cantSplit/>
          <w:jc w:val="center"/>
        </w:trPr>
        <w:tc>
          <w:tcPr>
            <w:tcW w:w="3312" w:type="dxa"/>
            <w:tcMar>
              <w:top w:w="90" w:type="dxa"/>
              <w:left w:w="110" w:type="dxa"/>
              <w:bottom w:w="90" w:type="dxa"/>
              <w:right w:w="110" w:type="dxa"/>
            </w:tcMar>
            <w:vAlign w:val="center"/>
          </w:tcPr>
          <w:p w14:paraId="741CE4A4" w14:textId="77777777" w:rsidR="00947D72" w:rsidRPr="00BD1DA7" w:rsidRDefault="00000000">
            <w:pPr>
              <w:spacing w:after="0" w:line="240" w:lineRule="auto"/>
              <w:rPr>
                <w:lang w:val="ro-RO"/>
              </w:rPr>
            </w:pPr>
            <w:r>
              <w:rPr>
                <w:rFonts w:eastAsia="Carlito"/>
                <w:color w:val="20262B"/>
                <w:sz w:val="19"/>
                <w:lang w:val="ro-RO"/>
              </w:rPr>
              <w:t>Este orice control al informației cenzură?</w:t>
            </w:r>
          </w:p>
        </w:tc>
        <w:tc>
          <w:tcPr>
            <w:tcW w:w="6624" w:type="dxa"/>
            <w:tcMar>
              <w:top w:w="90" w:type="dxa"/>
              <w:left w:w="110" w:type="dxa"/>
              <w:bottom w:w="90" w:type="dxa"/>
              <w:right w:w="110" w:type="dxa"/>
            </w:tcMar>
            <w:vAlign w:val="center"/>
          </w:tcPr>
          <w:p w14:paraId="137C6C0E" w14:textId="77777777" w:rsidR="00947D72" w:rsidRPr="00BD1DA7" w:rsidRDefault="00000000">
            <w:pPr>
              <w:spacing w:after="0" w:line="240" w:lineRule="auto"/>
              <w:rPr>
                <w:lang w:val="ro-RO"/>
              </w:rPr>
            </w:pPr>
            <w:r>
              <w:rPr>
                <w:rFonts w:eastAsia="Carlito"/>
                <w:color w:val="20262B"/>
                <w:sz w:val="19"/>
                <w:lang w:val="ro-RO"/>
              </w:rPr>
              <w:t>Nu. Cenzura este o categorie distinctă; represiunea, propaganda, moderarea și controlul economic trebuie analizate separat.</w:t>
            </w:r>
          </w:p>
        </w:tc>
      </w:tr>
      <w:tr w:rsidR="00947D72" w:rsidRPr="00BD1DA7" w14:paraId="2D767503" w14:textId="77777777">
        <w:trPr>
          <w:cantSplit/>
          <w:jc w:val="center"/>
        </w:trPr>
        <w:tc>
          <w:tcPr>
            <w:tcW w:w="3312" w:type="dxa"/>
            <w:shd w:val="clear" w:color="auto" w:fill="F5F7F8"/>
            <w:tcMar>
              <w:top w:w="90" w:type="dxa"/>
              <w:left w:w="110" w:type="dxa"/>
              <w:bottom w:w="90" w:type="dxa"/>
              <w:right w:w="110" w:type="dxa"/>
            </w:tcMar>
            <w:vAlign w:val="center"/>
          </w:tcPr>
          <w:p w14:paraId="5F0644AC" w14:textId="77777777" w:rsidR="00947D72" w:rsidRPr="00BD1DA7" w:rsidRDefault="00000000">
            <w:pPr>
              <w:spacing w:after="0" w:line="240" w:lineRule="auto"/>
              <w:rPr>
                <w:lang w:val="ro-RO"/>
              </w:rPr>
            </w:pPr>
            <w:r>
              <w:rPr>
                <w:rFonts w:eastAsia="Carlito"/>
                <w:color w:val="20262B"/>
                <w:sz w:val="19"/>
                <w:lang w:val="ro-RO"/>
              </w:rPr>
              <w:t>Există continuitate istorică?</w:t>
            </w:r>
          </w:p>
        </w:tc>
        <w:tc>
          <w:tcPr>
            <w:tcW w:w="6624" w:type="dxa"/>
            <w:shd w:val="clear" w:color="auto" w:fill="F5F7F8"/>
            <w:tcMar>
              <w:top w:w="90" w:type="dxa"/>
              <w:left w:w="110" w:type="dxa"/>
              <w:bottom w:w="90" w:type="dxa"/>
              <w:right w:w="110" w:type="dxa"/>
            </w:tcMar>
            <w:vAlign w:val="center"/>
          </w:tcPr>
          <w:p w14:paraId="0E855E11" w14:textId="77777777" w:rsidR="00947D72" w:rsidRPr="00BD1DA7" w:rsidRDefault="00000000">
            <w:pPr>
              <w:spacing w:after="0" w:line="240" w:lineRule="auto"/>
              <w:rPr>
                <w:lang w:val="ro-RO"/>
              </w:rPr>
            </w:pPr>
            <w:r>
              <w:rPr>
                <w:rFonts w:eastAsia="Carlito"/>
                <w:color w:val="20262B"/>
                <w:sz w:val="19"/>
                <w:lang w:val="ro-RO"/>
              </w:rPr>
              <w:t>Da, la nivelul stimulentului de a controla informația; nu, la nivelul instituțiilor, al intensității și al garanțiilor juridice.</w:t>
            </w:r>
          </w:p>
        </w:tc>
      </w:tr>
      <w:tr w:rsidR="00947D72" w:rsidRPr="00BD1DA7" w14:paraId="79A8E96D" w14:textId="77777777">
        <w:trPr>
          <w:cantSplit/>
          <w:jc w:val="center"/>
        </w:trPr>
        <w:tc>
          <w:tcPr>
            <w:tcW w:w="3312" w:type="dxa"/>
            <w:tcMar>
              <w:top w:w="90" w:type="dxa"/>
              <w:left w:w="110" w:type="dxa"/>
              <w:bottom w:w="90" w:type="dxa"/>
              <w:right w:w="110" w:type="dxa"/>
            </w:tcMar>
            <w:vAlign w:val="center"/>
          </w:tcPr>
          <w:p w14:paraId="3473CED4" w14:textId="77777777" w:rsidR="00947D72" w:rsidRPr="00BD1DA7" w:rsidRDefault="00000000">
            <w:pPr>
              <w:spacing w:after="0" w:line="240" w:lineRule="auto"/>
              <w:rPr>
                <w:lang w:val="ro-RO"/>
              </w:rPr>
            </w:pPr>
            <w:r>
              <w:rPr>
                <w:rFonts w:eastAsia="Carlito"/>
                <w:color w:val="20262B"/>
                <w:sz w:val="19"/>
                <w:lang w:val="ro-RO"/>
              </w:rPr>
              <w:t>DSA este cenzură?</w:t>
            </w:r>
          </w:p>
        </w:tc>
        <w:tc>
          <w:tcPr>
            <w:tcW w:w="6624" w:type="dxa"/>
            <w:tcMar>
              <w:top w:w="90" w:type="dxa"/>
              <w:left w:w="110" w:type="dxa"/>
              <w:bottom w:w="90" w:type="dxa"/>
              <w:right w:w="110" w:type="dxa"/>
            </w:tcMar>
            <w:vAlign w:val="center"/>
          </w:tcPr>
          <w:p w14:paraId="59D27394" w14:textId="77777777" w:rsidR="00947D72" w:rsidRPr="00BD1DA7" w:rsidRDefault="00000000">
            <w:pPr>
              <w:spacing w:after="0" w:line="240" w:lineRule="auto"/>
              <w:rPr>
                <w:lang w:val="ro-RO"/>
              </w:rPr>
            </w:pPr>
            <w:r>
              <w:rPr>
                <w:rFonts w:eastAsia="Carlito"/>
                <w:color w:val="20262B"/>
                <w:sz w:val="19"/>
                <w:lang w:val="ro-RO"/>
              </w:rPr>
              <w:t>Nu în sine. Poate reduce abuzuri și crește transparența, dar aplicarea sa poate genera riscuri de supra-moderare.</w:t>
            </w:r>
          </w:p>
        </w:tc>
      </w:tr>
      <w:tr w:rsidR="00947D72" w:rsidRPr="00BD1DA7" w14:paraId="425B8538" w14:textId="77777777">
        <w:trPr>
          <w:cantSplit/>
          <w:jc w:val="center"/>
        </w:trPr>
        <w:tc>
          <w:tcPr>
            <w:tcW w:w="3312" w:type="dxa"/>
            <w:shd w:val="clear" w:color="auto" w:fill="F5F7F8"/>
            <w:tcMar>
              <w:top w:w="90" w:type="dxa"/>
              <w:left w:w="110" w:type="dxa"/>
              <w:bottom w:w="90" w:type="dxa"/>
              <w:right w:w="110" w:type="dxa"/>
            </w:tcMar>
            <w:vAlign w:val="center"/>
          </w:tcPr>
          <w:p w14:paraId="600FF3AE" w14:textId="77777777" w:rsidR="00947D72" w:rsidRPr="00BD1DA7" w:rsidRDefault="00000000">
            <w:pPr>
              <w:spacing w:after="0" w:line="240" w:lineRule="auto"/>
              <w:rPr>
                <w:lang w:val="ro-RO"/>
              </w:rPr>
            </w:pPr>
            <w:r>
              <w:rPr>
                <w:rFonts w:eastAsia="Carlito"/>
                <w:color w:val="20262B"/>
                <w:sz w:val="19"/>
                <w:lang w:val="ro-RO"/>
              </w:rPr>
              <w:t>Anularea din 2024 dovedește represiune?</w:t>
            </w:r>
          </w:p>
        </w:tc>
        <w:tc>
          <w:tcPr>
            <w:tcW w:w="6624" w:type="dxa"/>
            <w:shd w:val="clear" w:color="auto" w:fill="F5F7F8"/>
            <w:tcMar>
              <w:top w:w="90" w:type="dxa"/>
              <w:left w:w="110" w:type="dxa"/>
              <w:bottom w:w="90" w:type="dxa"/>
              <w:right w:w="110" w:type="dxa"/>
            </w:tcMar>
            <w:vAlign w:val="center"/>
          </w:tcPr>
          <w:p w14:paraId="5F04486E" w14:textId="77777777" w:rsidR="00947D72" w:rsidRPr="00BD1DA7" w:rsidRDefault="00000000">
            <w:pPr>
              <w:spacing w:after="0" w:line="240" w:lineRule="auto"/>
              <w:rPr>
                <w:lang w:val="ro-RO"/>
              </w:rPr>
            </w:pPr>
            <w:r>
              <w:rPr>
                <w:rFonts w:eastAsia="Carlito"/>
                <w:color w:val="20262B"/>
                <w:sz w:val="19"/>
                <w:lang w:val="ro-RO"/>
              </w:rPr>
              <w:t>Nu automat. A fost o măsură constituțională extremă; legitimitatea ei trebuie evaluată prin competență, probă, proporționalitate, transparență și posibilitatea de contestare.</w:t>
            </w:r>
          </w:p>
        </w:tc>
      </w:tr>
      <w:tr w:rsidR="00947D72" w:rsidRPr="00BD1DA7" w14:paraId="2EB8DCAE" w14:textId="77777777">
        <w:trPr>
          <w:cantSplit/>
          <w:jc w:val="center"/>
        </w:trPr>
        <w:tc>
          <w:tcPr>
            <w:tcW w:w="3312" w:type="dxa"/>
            <w:tcMar>
              <w:top w:w="90" w:type="dxa"/>
              <w:left w:w="110" w:type="dxa"/>
              <w:bottom w:w="90" w:type="dxa"/>
              <w:right w:w="110" w:type="dxa"/>
            </w:tcMar>
            <w:vAlign w:val="center"/>
          </w:tcPr>
          <w:p w14:paraId="4C128657" w14:textId="77777777" w:rsidR="00947D72" w:rsidRPr="00BD1DA7" w:rsidRDefault="00000000">
            <w:pPr>
              <w:spacing w:after="0" w:line="240" w:lineRule="auto"/>
              <w:rPr>
                <w:lang w:val="ro-RO"/>
              </w:rPr>
            </w:pPr>
            <w:r>
              <w:rPr>
                <w:rFonts w:eastAsia="Carlito"/>
                <w:color w:val="20262B"/>
                <w:sz w:val="19"/>
                <w:lang w:val="ro-RO"/>
              </w:rPr>
              <w:t>Care este riscul major al erei digitale?</w:t>
            </w:r>
          </w:p>
        </w:tc>
        <w:tc>
          <w:tcPr>
            <w:tcW w:w="6624" w:type="dxa"/>
            <w:tcMar>
              <w:top w:w="90" w:type="dxa"/>
              <w:left w:w="110" w:type="dxa"/>
              <w:bottom w:w="90" w:type="dxa"/>
              <w:right w:w="110" w:type="dxa"/>
            </w:tcMar>
            <w:vAlign w:val="center"/>
          </w:tcPr>
          <w:p w14:paraId="7DB89F01" w14:textId="77777777" w:rsidR="00947D72" w:rsidRPr="00BD1DA7" w:rsidRDefault="00000000">
            <w:pPr>
              <w:spacing w:after="0" w:line="240" w:lineRule="auto"/>
              <w:rPr>
                <w:lang w:val="ro-RO"/>
              </w:rPr>
            </w:pPr>
            <w:r>
              <w:rPr>
                <w:rFonts w:eastAsia="Carlito"/>
                <w:color w:val="20262B"/>
                <w:sz w:val="19"/>
                <w:lang w:val="ro-RO"/>
              </w:rPr>
              <w:t>Nu doar interdicția, ci și controlul vizibilității, finanțării și atenției într-un ecosistem opac și fragmentat.</w:t>
            </w:r>
          </w:p>
        </w:tc>
      </w:tr>
    </w:tbl>
    <w:p w14:paraId="04F6C7AC" w14:textId="77777777" w:rsidR="00947D72" w:rsidRPr="00BD1DA7" w:rsidRDefault="00947D72">
      <w:pPr>
        <w:spacing w:after="20"/>
        <w:rPr>
          <w:lang w:val="ro-RO"/>
        </w:rPr>
      </w:pPr>
    </w:p>
    <w:p w14:paraId="0A56B767" w14:textId="77777777" w:rsidR="00947D72" w:rsidRPr="00BD1DA7" w:rsidRDefault="00000000">
      <w:pPr>
        <w:rPr>
          <w:lang w:val="ro-RO"/>
        </w:rPr>
      </w:pPr>
      <w:r>
        <w:rPr>
          <w:rFonts w:eastAsia="Carlito"/>
          <w:lang w:val="ro-RO"/>
        </w:rPr>
        <w:br w:type="page"/>
      </w:r>
    </w:p>
    <w:p w14:paraId="3BC69A73" w14:textId="77777777" w:rsidR="00947D72" w:rsidRPr="00BD1DA7" w:rsidRDefault="00000000">
      <w:pPr>
        <w:pStyle w:val="Heading1"/>
        <w:spacing w:before="220" w:after="100"/>
        <w:rPr>
          <w:lang w:val="ro-RO"/>
        </w:rPr>
      </w:pPr>
      <w:r>
        <w:rPr>
          <w:rFonts w:ascii="Carlito" w:eastAsia="Carlito" w:hAnsi="Carlito"/>
          <w:color w:val="17324D"/>
          <w:sz w:val="34"/>
          <w:lang w:val="ro-RO"/>
        </w:rPr>
        <w:lastRenderedPageBreak/>
        <w:t>1. Ce numim „cenzură”? O taxonomie necesară</w:t>
      </w:r>
    </w:p>
    <w:p w14:paraId="4D1FF1D0" w14:textId="77777777" w:rsidR="00947D72" w:rsidRPr="00BD1DA7" w:rsidRDefault="00000000">
      <w:pPr>
        <w:rPr>
          <w:lang w:val="ro-RO"/>
        </w:rPr>
      </w:pPr>
      <w:r>
        <w:rPr>
          <w:rFonts w:eastAsia="Carlito"/>
          <w:color w:val="20262B"/>
          <w:lang w:val="ro-RO"/>
        </w:rPr>
        <w:t>Cuvântul „cenzură” are forță retorică tocmai pentru că trimite la o experiență istorică recognoscibilă: o autoritate decide că un text, o imagine, o idee sau o persoană nu trebuie să ajungă la public. Folosit prea larg, termenul își pierde însă precizia. Dacă orice selecție editorială, moderare, sancțiune legală, critică publică sau pierdere de audiență devine „cenzură”, nu mai putem distinge între o interdicție impusă de stat și faptul că o platformă ori o redacție aplică reguli contestabile.</w:t>
      </w:r>
    </w:p>
    <w:p w14:paraId="5D8C8FB4" w14:textId="77777777" w:rsidR="00947D72" w:rsidRPr="00BD1DA7" w:rsidRDefault="00000000">
      <w:pPr>
        <w:pStyle w:val="Heading2"/>
        <w:spacing w:before="160" w:after="100"/>
        <w:rPr>
          <w:lang w:val="ro-RO"/>
        </w:rPr>
      </w:pPr>
      <w:r>
        <w:rPr>
          <w:rFonts w:ascii="Carlito" w:eastAsia="Carlito" w:hAnsi="Carlito"/>
          <w:color w:val="2C6975"/>
          <w:lang w:val="ro-RO"/>
        </w:rPr>
        <w:t>1.1 Nouă mecanisme diferite</w:t>
      </w:r>
    </w:p>
    <w:tbl>
      <w:tblPr>
        <w:tblW w:w="0" w:type="auto"/>
        <w:jc w:val="center"/>
        <w:tblBorders>
          <w:top w:val="single" w:sz="6" w:space="0" w:color="CBD5DB"/>
          <w:left w:val="single" w:sz="6" w:space="0" w:color="CBD5DB"/>
          <w:bottom w:val="single" w:sz="6" w:space="0" w:color="CBD5DB"/>
          <w:right w:val="single" w:sz="6" w:space="0" w:color="CBD5DB"/>
          <w:insideH w:val="single" w:sz="6" w:space="0" w:color="CBD5DB"/>
          <w:insideV w:val="single" w:sz="6" w:space="0" w:color="CBD5DB"/>
        </w:tblBorders>
        <w:tblLayout w:type="fixed"/>
        <w:tblLook w:val="04A0" w:firstRow="1" w:lastRow="0" w:firstColumn="1" w:lastColumn="0" w:noHBand="0" w:noVBand="1"/>
      </w:tblPr>
      <w:tblGrid>
        <w:gridCol w:w="2469"/>
        <w:gridCol w:w="2469"/>
        <w:gridCol w:w="2952"/>
        <w:gridCol w:w="3384"/>
      </w:tblGrid>
      <w:tr w:rsidR="00947D72" w:rsidRPr="00BD1DA7" w14:paraId="1CEA239F" w14:textId="77777777">
        <w:trPr>
          <w:cantSplit/>
          <w:tblHeader/>
          <w:jc w:val="center"/>
        </w:trPr>
        <w:tc>
          <w:tcPr>
            <w:tcW w:w="2088" w:type="dxa"/>
            <w:shd w:val="clear" w:color="auto" w:fill="D9E2F3"/>
            <w:tcMar>
              <w:top w:w="90" w:type="dxa"/>
              <w:left w:w="110" w:type="dxa"/>
              <w:bottom w:w="90" w:type="dxa"/>
              <w:right w:w="110" w:type="dxa"/>
            </w:tcMar>
            <w:vAlign w:val="center"/>
          </w:tcPr>
          <w:p w14:paraId="7471CFBE" w14:textId="77777777" w:rsidR="00947D72" w:rsidRPr="00BD1DA7" w:rsidRDefault="00000000">
            <w:pPr>
              <w:spacing w:after="0"/>
              <w:jc w:val="center"/>
              <w:rPr>
                <w:lang w:val="ro-RO"/>
              </w:rPr>
            </w:pPr>
            <w:r>
              <w:rPr>
                <w:rFonts w:eastAsia="Carlito"/>
                <w:b/>
                <w:color w:val="FFFFFF"/>
                <w:sz w:val="19"/>
                <w:lang w:val="ro-RO"/>
              </w:rPr>
              <w:t>Mecanism</w:t>
            </w:r>
          </w:p>
        </w:tc>
        <w:tc>
          <w:tcPr>
            <w:tcW w:w="2088" w:type="dxa"/>
            <w:shd w:val="clear" w:color="auto" w:fill="D9E2F3"/>
            <w:tcMar>
              <w:top w:w="90" w:type="dxa"/>
              <w:left w:w="110" w:type="dxa"/>
              <w:bottom w:w="90" w:type="dxa"/>
              <w:right w:w="110" w:type="dxa"/>
            </w:tcMar>
            <w:vAlign w:val="center"/>
          </w:tcPr>
          <w:p w14:paraId="4D3BA6AE" w14:textId="77777777" w:rsidR="00947D72" w:rsidRPr="00BD1DA7" w:rsidRDefault="00000000">
            <w:pPr>
              <w:spacing w:after="0"/>
              <w:jc w:val="center"/>
              <w:rPr>
                <w:lang w:val="ro-RO"/>
              </w:rPr>
            </w:pPr>
            <w:r>
              <w:rPr>
                <w:rFonts w:eastAsia="Carlito"/>
                <w:b/>
                <w:color w:val="FFFFFF"/>
                <w:sz w:val="19"/>
                <w:lang w:val="ro-RO"/>
              </w:rPr>
              <w:t>Actor tipic</w:t>
            </w:r>
          </w:p>
        </w:tc>
        <w:tc>
          <w:tcPr>
            <w:tcW w:w="2952" w:type="dxa"/>
            <w:shd w:val="clear" w:color="auto" w:fill="D9E2F3"/>
            <w:tcMar>
              <w:top w:w="90" w:type="dxa"/>
              <w:left w:w="110" w:type="dxa"/>
              <w:bottom w:w="90" w:type="dxa"/>
              <w:right w:w="110" w:type="dxa"/>
            </w:tcMar>
            <w:vAlign w:val="center"/>
          </w:tcPr>
          <w:p w14:paraId="04764864" w14:textId="77777777" w:rsidR="00947D72" w:rsidRPr="00BD1DA7" w:rsidRDefault="00000000">
            <w:pPr>
              <w:spacing w:after="0"/>
              <w:jc w:val="center"/>
              <w:rPr>
                <w:lang w:val="ro-RO"/>
              </w:rPr>
            </w:pPr>
            <w:r>
              <w:rPr>
                <w:rFonts w:eastAsia="Carlito"/>
                <w:b/>
                <w:color w:val="FFFFFF"/>
                <w:sz w:val="19"/>
                <w:lang w:val="ro-RO"/>
              </w:rPr>
              <w:t>Instrument</w:t>
            </w:r>
          </w:p>
        </w:tc>
        <w:tc>
          <w:tcPr>
            <w:tcW w:w="3384" w:type="dxa"/>
            <w:shd w:val="clear" w:color="auto" w:fill="D9E2F3"/>
            <w:tcMar>
              <w:top w:w="90" w:type="dxa"/>
              <w:left w:w="110" w:type="dxa"/>
              <w:bottom w:w="90" w:type="dxa"/>
              <w:right w:w="110" w:type="dxa"/>
            </w:tcMar>
            <w:vAlign w:val="center"/>
          </w:tcPr>
          <w:p w14:paraId="48C3DC60" w14:textId="77777777" w:rsidR="00947D72" w:rsidRPr="00BD1DA7" w:rsidRDefault="00000000">
            <w:pPr>
              <w:spacing w:after="0"/>
              <w:jc w:val="center"/>
              <w:rPr>
                <w:lang w:val="ro-RO"/>
              </w:rPr>
            </w:pPr>
            <w:r>
              <w:rPr>
                <w:rFonts w:eastAsia="Carlito"/>
                <w:b/>
                <w:color w:val="FFFFFF"/>
                <w:sz w:val="19"/>
                <w:lang w:val="ro-RO"/>
              </w:rPr>
              <w:t>Problemă democratică</w:t>
            </w:r>
          </w:p>
        </w:tc>
      </w:tr>
      <w:tr w:rsidR="00947D72" w:rsidRPr="00BD1DA7" w14:paraId="004244CA" w14:textId="77777777">
        <w:trPr>
          <w:cantSplit/>
          <w:jc w:val="center"/>
        </w:trPr>
        <w:tc>
          <w:tcPr>
            <w:tcW w:w="2088" w:type="dxa"/>
            <w:tcMar>
              <w:top w:w="90" w:type="dxa"/>
              <w:left w:w="110" w:type="dxa"/>
              <w:bottom w:w="90" w:type="dxa"/>
              <w:right w:w="110" w:type="dxa"/>
            </w:tcMar>
            <w:vAlign w:val="center"/>
          </w:tcPr>
          <w:p w14:paraId="5D654EF2" w14:textId="77777777" w:rsidR="00947D72" w:rsidRPr="00BD1DA7" w:rsidRDefault="00000000">
            <w:pPr>
              <w:spacing w:after="0" w:line="240" w:lineRule="auto"/>
              <w:rPr>
                <w:lang w:val="ro-RO"/>
              </w:rPr>
            </w:pPr>
            <w:r>
              <w:rPr>
                <w:rFonts w:eastAsia="Carlito"/>
                <w:color w:val="20262B"/>
                <w:sz w:val="19"/>
                <w:lang w:val="ro-RO"/>
              </w:rPr>
              <w:t>Represiune politică</w:t>
            </w:r>
          </w:p>
        </w:tc>
        <w:tc>
          <w:tcPr>
            <w:tcW w:w="2088" w:type="dxa"/>
            <w:tcMar>
              <w:top w:w="90" w:type="dxa"/>
              <w:left w:w="110" w:type="dxa"/>
              <w:bottom w:w="90" w:type="dxa"/>
              <w:right w:w="110" w:type="dxa"/>
            </w:tcMar>
            <w:vAlign w:val="center"/>
          </w:tcPr>
          <w:p w14:paraId="12927EFF" w14:textId="77777777" w:rsidR="00947D72" w:rsidRPr="00BD1DA7" w:rsidRDefault="00000000">
            <w:pPr>
              <w:spacing w:after="0" w:line="240" w:lineRule="auto"/>
              <w:rPr>
                <w:lang w:val="ro-RO"/>
              </w:rPr>
            </w:pPr>
            <w:r>
              <w:rPr>
                <w:rFonts w:eastAsia="Carlito"/>
                <w:color w:val="20262B"/>
                <w:sz w:val="19"/>
                <w:lang w:val="ro-RO"/>
              </w:rPr>
              <w:t>Stat, poliție, mișcare violentă</w:t>
            </w:r>
          </w:p>
        </w:tc>
        <w:tc>
          <w:tcPr>
            <w:tcW w:w="2952" w:type="dxa"/>
            <w:tcMar>
              <w:top w:w="90" w:type="dxa"/>
              <w:left w:w="110" w:type="dxa"/>
              <w:bottom w:w="90" w:type="dxa"/>
              <w:right w:w="110" w:type="dxa"/>
            </w:tcMar>
            <w:vAlign w:val="center"/>
          </w:tcPr>
          <w:p w14:paraId="191EB164" w14:textId="77777777" w:rsidR="00947D72" w:rsidRPr="00BD1DA7" w:rsidRDefault="00000000">
            <w:pPr>
              <w:spacing w:after="0" w:line="240" w:lineRule="auto"/>
              <w:rPr>
                <w:lang w:val="ro-RO"/>
              </w:rPr>
            </w:pPr>
            <w:r>
              <w:rPr>
                <w:rFonts w:eastAsia="Carlito"/>
                <w:color w:val="20262B"/>
                <w:sz w:val="19"/>
                <w:lang w:val="ro-RO"/>
              </w:rPr>
              <w:t>Arestare, intimidare, violență, exil forțat</w:t>
            </w:r>
          </w:p>
        </w:tc>
        <w:tc>
          <w:tcPr>
            <w:tcW w:w="3384" w:type="dxa"/>
            <w:tcMar>
              <w:top w:w="90" w:type="dxa"/>
              <w:left w:w="110" w:type="dxa"/>
              <w:bottom w:w="90" w:type="dxa"/>
              <w:right w:w="110" w:type="dxa"/>
            </w:tcMar>
            <w:vAlign w:val="center"/>
          </w:tcPr>
          <w:p w14:paraId="4987F802" w14:textId="77777777" w:rsidR="00947D72" w:rsidRPr="00BD1DA7" w:rsidRDefault="00000000">
            <w:pPr>
              <w:spacing w:after="0" w:line="240" w:lineRule="auto"/>
              <w:rPr>
                <w:lang w:val="ro-RO"/>
              </w:rPr>
            </w:pPr>
            <w:r>
              <w:rPr>
                <w:rFonts w:eastAsia="Carlito"/>
                <w:color w:val="20262B"/>
                <w:sz w:val="19"/>
                <w:lang w:val="ro-RO"/>
              </w:rPr>
              <w:t>Eliminarea actorului, nu doar a mesajului</w:t>
            </w:r>
          </w:p>
        </w:tc>
      </w:tr>
      <w:tr w:rsidR="00947D72" w:rsidRPr="00BD1DA7" w14:paraId="385D984C" w14:textId="77777777">
        <w:trPr>
          <w:cantSplit/>
          <w:jc w:val="center"/>
        </w:trPr>
        <w:tc>
          <w:tcPr>
            <w:tcW w:w="2088" w:type="dxa"/>
            <w:shd w:val="clear" w:color="auto" w:fill="F5F7F8"/>
            <w:tcMar>
              <w:top w:w="90" w:type="dxa"/>
              <w:left w:w="110" w:type="dxa"/>
              <w:bottom w:w="90" w:type="dxa"/>
              <w:right w:w="110" w:type="dxa"/>
            </w:tcMar>
            <w:vAlign w:val="center"/>
          </w:tcPr>
          <w:p w14:paraId="0955A79E" w14:textId="77777777" w:rsidR="00947D72" w:rsidRPr="00BD1DA7" w:rsidRDefault="00000000">
            <w:pPr>
              <w:spacing w:after="0" w:line="240" w:lineRule="auto"/>
              <w:rPr>
                <w:lang w:val="ro-RO"/>
              </w:rPr>
            </w:pPr>
            <w:r>
              <w:rPr>
                <w:rFonts w:eastAsia="Carlito"/>
                <w:color w:val="20262B"/>
                <w:sz w:val="19"/>
                <w:lang w:val="ro-RO"/>
              </w:rPr>
              <w:t>Cenzură juridică / administrativă</w:t>
            </w:r>
          </w:p>
        </w:tc>
        <w:tc>
          <w:tcPr>
            <w:tcW w:w="2088" w:type="dxa"/>
            <w:shd w:val="clear" w:color="auto" w:fill="F5F7F8"/>
            <w:tcMar>
              <w:top w:w="90" w:type="dxa"/>
              <w:left w:w="110" w:type="dxa"/>
              <w:bottom w:w="90" w:type="dxa"/>
              <w:right w:w="110" w:type="dxa"/>
            </w:tcMar>
            <w:vAlign w:val="center"/>
          </w:tcPr>
          <w:p w14:paraId="360C0EA6" w14:textId="77777777" w:rsidR="00947D72" w:rsidRPr="00BD1DA7" w:rsidRDefault="00000000">
            <w:pPr>
              <w:spacing w:after="0" w:line="240" w:lineRule="auto"/>
              <w:rPr>
                <w:lang w:val="ro-RO"/>
              </w:rPr>
            </w:pPr>
            <w:r>
              <w:rPr>
                <w:rFonts w:eastAsia="Carlito"/>
                <w:color w:val="20262B"/>
                <w:sz w:val="19"/>
                <w:lang w:val="ro-RO"/>
              </w:rPr>
              <w:t>Stat, autoritate de licențiere</w:t>
            </w:r>
          </w:p>
        </w:tc>
        <w:tc>
          <w:tcPr>
            <w:tcW w:w="2952" w:type="dxa"/>
            <w:shd w:val="clear" w:color="auto" w:fill="F5F7F8"/>
            <w:tcMar>
              <w:top w:w="90" w:type="dxa"/>
              <w:left w:w="110" w:type="dxa"/>
              <w:bottom w:w="90" w:type="dxa"/>
              <w:right w:w="110" w:type="dxa"/>
            </w:tcMar>
            <w:vAlign w:val="center"/>
          </w:tcPr>
          <w:p w14:paraId="079ACBA4" w14:textId="77777777" w:rsidR="00947D72" w:rsidRPr="00BD1DA7" w:rsidRDefault="00000000">
            <w:pPr>
              <w:spacing w:after="0" w:line="240" w:lineRule="auto"/>
              <w:rPr>
                <w:lang w:val="ro-RO"/>
              </w:rPr>
            </w:pPr>
            <w:r>
              <w:rPr>
                <w:rFonts w:eastAsia="Carlito"/>
                <w:color w:val="20262B"/>
                <w:sz w:val="19"/>
                <w:lang w:val="ro-RO"/>
              </w:rPr>
              <w:t>Interdicție, autorizare prealabilă, confiscare</w:t>
            </w:r>
          </w:p>
        </w:tc>
        <w:tc>
          <w:tcPr>
            <w:tcW w:w="3384" w:type="dxa"/>
            <w:shd w:val="clear" w:color="auto" w:fill="F5F7F8"/>
            <w:tcMar>
              <w:top w:w="90" w:type="dxa"/>
              <w:left w:w="110" w:type="dxa"/>
              <w:bottom w:w="90" w:type="dxa"/>
              <w:right w:w="110" w:type="dxa"/>
            </w:tcMar>
            <w:vAlign w:val="center"/>
          </w:tcPr>
          <w:p w14:paraId="588318DC" w14:textId="77777777" w:rsidR="00947D72" w:rsidRPr="00BD1DA7" w:rsidRDefault="00000000">
            <w:pPr>
              <w:spacing w:after="0" w:line="240" w:lineRule="auto"/>
              <w:rPr>
                <w:lang w:val="ro-RO"/>
              </w:rPr>
            </w:pPr>
            <w:r>
              <w:rPr>
                <w:rFonts w:eastAsia="Carlito"/>
                <w:color w:val="20262B"/>
                <w:sz w:val="19"/>
                <w:lang w:val="ro-RO"/>
              </w:rPr>
              <w:t>Restrângerea directă a publicării</w:t>
            </w:r>
          </w:p>
        </w:tc>
      </w:tr>
      <w:tr w:rsidR="00947D72" w:rsidRPr="00BD1DA7" w14:paraId="2E6ED046" w14:textId="77777777">
        <w:trPr>
          <w:cantSplit/>
          <w:jc w:val="center"/>
        </w:trPr>
        <w:tc>
          <w:tcPr>
            <w:tcW w:w="2088" w:type="dxa"/>
            <w:tcMar>
              <w:top w:w="90" w:type="dxa"/>
              <w:left w:w="110" w:type="dxa"/>
              <w:bottom w:w="90" w:type="dxa"/>
              <w:right w:w="110" w:type="dxa"/>
            </w:tcMar>
            <w:vAlign w:val="center"/>
          </w:tcPr>
          <w:p w14:paraId="79A8766B" w14:textId="77777777" w:rsidR="00947D72" w:rsidRPr="00BD1DA7" w:rsidRDefault="00000000">
            <w:pPr>
              <w:spacing w:after="0" w:line="240" w:lineRule="auto"/>
              <w:rPr>
                <w:lang w:val="ro-RO"/>
              </w:rPr>
            </w:pPr>
            <w:r>
              <w:rPr>
                <w:rFonts w:eastAsia="Carlito"/>
                <w:color w:val="20262B"/>
                <w:sz w:val="19"/>
                <w:lang w:val="ro-RO"/>
              </w:rPr>
              <w:t>Propagandă și falsificare</w:t>
            </w:r>
          </w:p>
        </w:tc>
        <w:tc>
          <w:tcPr>
            <w:tcW w:w="2088" w:type="dxa"/>
            <w:tcMar>
              <w:top w:w="90" w:type="dxa"/>
              <w:left w:w="110" w:type="dxa"/>
              <w:bottom w:w="90" w:type="dxa"/>
              <w:right w:w="110" w:type="dxa"/>
            </w:tcMar>
            <w:vAlign w:val="center"/>
          </w:tcPr>
          <w:p w14:paraId="4ED3ECC4" w14:textId="77777777" w:rsidR="00947D72" w:rsidRPr="00BD1DA7" w:rsidRDefault="00000000">
            <w:pPr>
              <w:spacing w:after="0" w:line="240" w:lineRule="auto"/>
              <w:rPr>
                <w:lang w:val="ro-RO"/>
              </w:rPr>
            </w:pPr>
            <w:r>
              <w:rPr>
                <w:rFonts w:eastAsia="Carlito"/>
                <w:color w:val="20262B"/>
                <w:sz w:val="19"/>
                <w:lang w:val="ro-RO"/>
              </w:rPr>
              <w:t>Stat, partid, instituții</w:t>
            </w:r>
          </w:p>
        </w:tc>
        <w:tc>
          <w:tcPr>
            <w:tcW w:w="2952" w:type="dxa"/>
            <w:tcMar>
              <w:top w:w="90" w:type="dxa"/>
              <w:left w:w="110" w:type="dxa"/>
              <w:bottom w:w="90" w:type="dxa"/>
              <w:right w:w="110" w:type="dxa"/>
            </w:tcMar>
            <w:vAlign w:val="center"/>
          </w:tcPr>
          <w:p w14:paraId="332F0BD2" w14:textId="77777777" w:rsidR="00947D72" w:rsidRPr="00BD1DA7" w:rsidRDefault="00000000">
            <w:pPr>
              <w:spacing w:after="0" w:line="240" w:lineRule="auto"/>
              <w:rPr>
                <w:lang w:val="ro-RO"/>
              </w:rPr>
            </w:pPr>
            <w:r>
              <w:rPr>
                <w:rFonts w:eastAsia="Carlito"/>
                <w:color w:val="20262B"/>
                <w:sz w:val="19"/>
                <w:lang w:val="ro-RO"/>
              </w:rPr>
              <w:t>Monopol narativ, rescriere, omisiune</w:t>
            </w:r>
          </w:p>
        </w:tc>
        <w:tc>
          <w:tcPr>
            <w:tcW w:w="3384" w:type="dxa"/>
            <w:tcMar>
              <w:top w:w="90" w:type="dxa"/>
              <w:left w:w="110" w:type="dxa"/>
              <w:bottom w:w="90" w:type="dxa"/>
              <w:right w:w="110" w:type="dxa"/>
            </w:tcMar>
            <w:vAlign w:val="center"/>
          </w:tcPr>
          <w:p w14:paraId="2EE5515B" w14:textId="77777777" w:rsidR="00947D72" w:rsidRPr="00BD1DA7" w:rsidRDefault="00000000">
            <w:pPr>
              <w:spacing w:after="0" w:line="240" w:lineRule="auto"/>
              <w:rPr>
                <w:lang w:val="ro-RO"/>
              </w:rPr>
            </w:pPr>
            <w:r>
              <w:rPr>
                <w:rFonts w:eastAsia="Carlito"/>
                <w:color w:val="20262B"/>
                <w:sz w:val="19"/>
                <w:lang w:val="ro-RO"/>
              </w:rPr>
              <w:t>Deformarea deliberată a spațiului de cunoaștere</w:t>
            </w:r>
          </w:p>
        </w:tc>
      </w:tr>
      <w:tr w:rsidR="00947D72" w:rsidRPr="00BD1DA7" w14:paraId="63CC6ED2" w14:textId="77777777">
        <w:trPr>
          <w:cantSplit/>
          <w:jc w:val="center"/>
        </w:trPr>
        <w:tc>
          <w:tcPr>
            <w:tcW w:w="2088" w:type="dxa"/>
            <w:shd w:val="clear" w:color="auto" w:fill="F5F7F8"/>
            <w:tcMar>
              <w:top w:w="90" w:type="dxa"/>
              <w:left w:w="110" w:type="dxa"/>
              <w:bottom w:w="90" w:type="dxa"/>
              <w:right w:w="110" w:type="dxa"/>
            </w:tcMar>
            <w:vAlign w:val="center"/>
          </w:tcPr>
          <w:p w14:paraId="6C38DA74" w14:textId="77777777" w:rsidR="00947D72" w:rsidRPr="00BD1DA7" w:rsidRDefault="00000000">
            <w:pPr>
              <w:spacing w:after="0" w:line="240" w:lineRule="auto"/>
              <w:rPr>
                <w:lang w:val="ro-RO"/>
              </w:rPr>
            </w:pPr>
            <w:r>
              <w:rPr>
                <w:rFonts w:eastAsia="Carlito"/>
                <w:color w:val="20262B"/>
                <w:sz w:val="19"/>
                <w:lang w:val="ro-RO"/>
              </w:rPr>
              <w:t>Control economic / captură</w:t>
            </w:r>
          </w:p>
        </w:tc>
        <w:tc>
          <w:tcPr>
            <w:tcW w:w="2088" w:type="dxa"/>
            <w:shd w:val="clear" w:color="auto" w:fill="F5F7F8"/>
            <w:tcMar>
              <w:top w:w="90" w:type="dxa"/>
              <w:left w:w="110" w:type="dxa"/>
              <w:bottom w:w="90" w:type="dxa"/>
              <w:right w:w="110" w:type="dxa"/>
            </w:tcMar>
            <w:vAlign w:val="center"/>
          </w:tcPr>
          <w:p w14:paraId="5C2189DA" w14:textId="77777777" w:rsidR="00947D72" w:rsidRPr="00BD1DA7" w:rsidRDefault="00000000">
            <w:pPr>
              <w:spacing w:after="0" w:line="240" w:lineRule="auto"/>
              <w:rPr>
                <w:lang w:val="ro-RO"/>
              </w:rPr>
            </w:pPr>
            <w:r>
              <w:rPr>
                <w:rFonts w:eastAsia="Carlito"/>
                <w:color w:val="20262B"/>
                <w:sz w:val="19"/>
                <w:lang w:val="ro-RO"/>
              </w:rPr>
              <w:t>Proprietari, finanțatori, partide, stat</w:t>
            </w:r>
          </w:p>
        </w:tc>
        <w:tc>
          <w:tcPr>
            <w:tcW w:w="2952" w:type="dxa"/>
            <w:shd w:val="clear" w:color="auto" w:fill="F5F7F8"/>
            <w:tcMar>
              <w:top w:w="90" w:type="dxa"/>
              <w:left w:w="110" w:type="dxa"/>
              <w:bottom w:w="90" w:type="dxa"/>
              <w:right w:w="110" w:type="dxa"/>
            </w:tcMar>
            <w:vAlign w:val="center"/>
          </w:tcPr>
          <w:p w14:paraId="0DB257D3" w14:textId="77777777" w:rsidR="00947D72" w:rsidRPr="00BD1DA7" w:rsidRDefault="00000000">
            <w:pPr>
              <w:spacing w:after="0" w:line="240" w:lineRule="auto"/>
              <w:rPr>
                <w:lang w:val="ro-RO"/>
              </w:rPr>
            </w:pPr>
            <w:r>
              <w:rPr>
                <w:rFonts w:eastAsia="Carlito"/>
                <w:color w:val="20262B"/>
                <w:sz w:val="19"/>
                <w:lang w:val="ro-RO"/>
              </w:rPr>
              <w:t>Bugete, publicitate, contracte, concentrare</w:t>
            </w:r>
          </w:p>
        </w:tc>
        <w:tc>
          <w:tcPr>
            <w:tcW w:w="3384" w:type="dxa"/>
            <w:shd w:val="clear" w:color="auto" w:fill="F5F7F8"/>
            <w:tcMar>
              <w:top w:w="90" w:type="dxa"/>
              <w:left w:w="110" w:type="dxa"/>
              <w:bottom w:w="90" w:type="dxa"/>
              <w:right w:w="110" w:type="dxa"/>
            </w:tcMar>
            <w:vAlign w:val="center"/>
          </w:tcPr>
          <w:p w14:paraId="0DDFF526" w14:textId="77777777" w:rsidR="00947D72" w:rsidRPr="00BD1DA7" w:rsidRDefault="00000000">
            <w:pPr>
              <w:spacing w:after="0" w:line="240" w:lineRule="auto"/>
              <w:rPr>
                <w:lang w:val="ro-RO"/>
              </w:rPr>
            </w:pPr>
            <w:r>
              <w:rPr>
                <w:rFonts w:eastAsia="Carlito"/>
                <w:color w:val="20262B"/>
                <w:sz w:val="19"/>
                <w:lang w:val="ro-RO"/>
              </w:rPr>
              <w:t>Autocenzură și dependență editorială</w:t>
            </w:r>
          </w:p>
        </w:tc>
      </w:tr>
      <w:tr w:rsidR="00947D72" w:rsidRPr="00BD1DA7" w14:paraId="673310BC" w14:textId="77777777">
        <w:trPr>
          <w:cantSplit/>
          <w:jc w:val="center"/>
        </w:trPr>
        <w:tc>
          <w:tcPr>
            <w:tcW w:w="2088" w:type="dxa"/>
            <w:tcMar>
              <w:top w:w="90" w:type="dxa"/>
              <w:left w:w="110" w:type="dxa"/>
              <w:bottom w:w="90" w:type="dxa"/>
              <w:right w:w="110" w:type="dxa"/>
            </w:tcMar>
            <w:vAlign w:val="center"/>
          </w:tcPr>
          <w:p w14:paraId="34C45B16" w14:textId="77777777" w:rsidR="00947D72" w:rsidRPr="00BD1DA7" w:rsidRDefault="00000000">
            <w:pPr>
              <w:spacing w:after="0" w:line="240" w:lineRule="auto"/>
              <w:rPr>
                <w:lang w:val="ro-RO"/>
              </w:rPr>
            </w:pPr>
            <w:r>
              <w:rPr>
                <w:rFonts w:eastAsia="Carlito"/>
                <w:color w:val="20262B"/>
                <w:sz w:val="19"/>
                <w:lang w:val="ro-RO"/>
              </w:rPr>
              <w:t>Moderare de platformă</w:t>
            </w:r>
          </w:p>
        </w:tc>
        <w:tc>
          <w:tcPr>
            <w:tcW w:w="2088" w:type="dxa"/>
            <w:tcMar>
              <w:top w:w="90" w:type="dxa"/>
              <w:left w:w="110" w:type="dxa"/>
              <w:bottom w:w="90" w:type="dxa"/>
              <w:right w:w="110" w:type="dxa"/>
            </w:tcMar>
            <w:vAlign w:val="center"/>
          </w:tcPr>
          <w:p w14:paraId="6BE72AF0" w14:textId="77777777" w:rsidR="00947D72" w:rsidRPr="00BD1DA7" w:rsidRDefault="00000000">
            <w:pPr>
              <w:spacing w:after="0" w:line="240" w:lineRule="auto"/>
              <w:rPr>
                <w:lang w:val="ro-RO"/>
              </w:rPr>
            </w:pPr>
            <w:r>
              <w:rPr>
                <w:rFonts w:eastAsia="Carlito"/>
                <w:color w:val="20262B"/>
                <w:sz w:val="19"/>
                <w:lang w:val="ro-RO"/>
              </w:rPr>
              <w:t>Companii digitale</w:t>
            </w:r>
          </w:p>
        </w:tc>
        <w:tc>
          <w:tcPr>
            <w:tcW w:w="2952" w:type="dxa"/>
            <w:tcMar>
              <w:top w:w="90" w:type="dxa"/>
              <w:left w:w="110" w:type="dxa"/>
              <w:bottom w:w="90" w:type="dxa"/>
              <w:right w:w="110" w:type="dxa"/>
            </w:tcMar>
            <w:vAlign w:val="center"/>
          </w:tcPr>
          <w:p w14:paraId="1E673220" w14:textId="77777777" w:rsidR="00947D72" w:rsidRPr="00BD1DA7" w:rsidRDefault="00000000">
            <w:pPr>
              <w:spacing w:after="0" w:line="240" w:lineRule="auto"/>
              <w:rPr>
                <w:lang w:val="ro-RO"/>
              </w:rPr>
            </w:pPr>
            <w:r>
              <w:rPr>
                <w:rFonts w:eastAsia="Carlito"/>
                <w:color w:val="20262B"/>
                <w:sz w:val="19"/>
                <w:lang w:val="ro-RO"/>
              </w:rPr>
              <w:t>Eliminare, suspendare, etichetare</w:t>
            </w:r>
          </w:p>
        </w:tc>
        <w:tc>
          <w:tcPr>
            <w:tcW w:w="3384" w:type="dxa"/>
            <w:tcMar>
              <w:top w:w="90" w:type="dxa"/>
              <w:left w:w="110" w:type="dxa"/>
              <w:bottom w:w="90" w:type="dxa"/>
              <w:right w:w="110" w:type="dxa"/>
            </w:tcMar>
            <w:vAlign w:val="center"/>
          </w:tcPr>
          <w:p w14:paraId="77FAAFB1" w14:textId="77777777" w:rsidR="00947D72" w:rsidRPr="00BD1DA7" w:rsidRDefault="00000000">
            <w:pPr>
              <w:spacing w:after="0" w:line="240" w:lineRule="auto"/>
              <w:rPr>
                <w:lang w:val="ro-RO"/>
              </w:rPr>
            </w:pPr>
            <w:r>
              <w:rPr>
                <w:rFonts w:eastAsia="Carlito"/>
                <w:color w:val="20262B"/>
                <w:sz w:val="19"/>
                <w:lang w:val="ro-RO"/>
              </w:rPr>
              <w:t>Putere privată asupra accesului la public</w:t>
            </w:r>
          </w:p>
        </w:tc>
      </w:tr>
      <w:tr w:rsidR="00947D72" w:rsidRPr="00BD1DA7" w14:paraId="7B98681D" w14:textId="77777777">
        <w:trPr>
          <w:cantSplit/>
          <w:jc w:val="center"/>
        </w:trPr>
        <w:tc>
          <w:tcPr>
            <w:tcW w:w="2088" w:type="dxa"/>
            <w:shd w:val="clear" w:color="auto" w:fill="F5F7F8"/>
            <w:tcMar>
              <w:top w:w="90" w:type="dxa"/>
              <w:left w:w="110" w:type="dxa"/>
              <w:bottom w:w="90" w:type="dxa"/>
              <w:right w:w="110" w:type="dxa"/>
            </w:tcMar>
            <w:vAlign w:val="center"/>
          </w:tcPr>
          <w:p w14:paraId="2D15EAD1" w14:textId="77777777" w:rsidR="00947D72" w:rsidRPr="00BD1DA7" w:rsidRDefault="00000000">
            <w:pPr>
              <w:spacing w:after="0" w:line="240" w:lineRule="auto"/>
              <w:rPr>
                <w:lang w:val="ro-RO"/>
              </w:rPr>
            </w:pPr>
            <w:r>
              <w:rPr>
                <w:rFonts w:eastAsia="Carlito"/>
                <w:color w:val="20262B"/>
                <w:sz w:val="19"/>
                <w:lang w:val="ro-RO"/>
              </w:rPr>
              <w:t>Guvernanță algoritmică</w:t>
            </w:r>
          </w:p>
        </w:tc>
        <w:tc>
          <w:tcPr>
            <w:tcW w:w="2088" w:type="dxa"/>
            <w:shd w:val="clear" w:color="auto" w:fill="F5F7F8"/>
            <w:tcMar>
              <w:top w:w="90" w:type="dxa"/>
              <w:left w:w="110" w:type="dxa"/>
              <w:bottom w:w="90" w:type="dxa"/>
              <w:right w:w="110" w:type="dxa"/>
            </w:tcMar>
            <w:vAlign w:val="center"/>
          </w:tcPr>
          <w:p w14:paraId="3CDE2AB1" w14:textId="77777777" w:rsidR="00947D72" w:rsidRPr="00BD1DA7" w:rsidRDefault="00000000">
            <w:pPr>
              <w:spacing w:after="0" w:line="240" w:lineRule="auto"/>
              <w:rPr>
                <w:lang w:val="ro-RO"/>
              </w:rPr>
            </w:pPr>
            <w:r>
              <w:rPr>
                <w:rFonts w:eastAsia="Carlito"/>
                <w:color w:val="20262B"/>
                <w:sz w:val="19"/>
                <w:lang w:val="ro-RO"/>
              </w:rPr>
              <w:t>Platforme / sisteme de recomandare</w:t>
            </w:r>
          </w:p>
        </w:tc>
        <w:tc>
          <w:tcPr>
            <w:tcW w:w="2952" w:type="dxa"/>
            <w:shd w:val="clear" w:color="auto" w:fill="F5F7F8"/>
            <w:tcMar>
              <w:top w:w="90" w:type="dxa"/>
              <w:left w:w="110" w:type="dxa"/>
              <w:bottom w:w="90" w:type="dxa"/>
              <w:right w:w="110" w:type="dxa"/>
            </w:tcMar>
            <w:vAlign w:val="center"/>
          </w:tcPr>
          <w:p w14:paraId="3218AF2E" w14:textId="77777777" w:rsidR="00947D72" w:rsidRPr="00BD1DA7" w:rsidRDefault="00000000">
            <w:pPr>
              <w:spacing w:after="0" w:line="240" w:lineRule="auto"/>
              <w:rPr>
                <w:lang w:val="ro-RO"/>
              </w:rPr>
            </w:pPr>
            <w:r>
              <w:rPr>
                <w:rFonts w:eastAsia="Carlito"/>
                <w:color w:val="20262B"/>
                <w:sz w:val="19"/>
                <w:lang w:val="ro-RO"/>
              </w:rPr>
              <w:t>Ranking, recomandare, demotare, targetare</w:t>
            </w:r>
          </w:p>
        </w:tc>
        <w:tc>
          <w:tcPr>
            <w:tcW w:w="3384" w:type="dxa"/>
            <w:shd w:val="clear" w:color="auto" w:fill="F5F7F8"/>
            <w:tcMar>
              <w:top w:w="90" w:type="dxa"/>
              <w:left w:w="110" w:type="dxa"/>
              <w:bottom w:w="90" w:type="dxa"/>
              <w:right w:w="110" w:type="dxa"/>
            </w:tcMar>
            <w:vAlign w:val="center"/>
          </w:tcPr>
          <w:p w14:paraId="78053A3F" w14:textId="77777777" w:rsidR="00947D72" w:rsidRPr="00BD1DA7" w:rsidRDefault="00000000">
            <w:pPr>
              <w:spacing w:after="0" w:line="240" w:lineRule="auto"/>
              <w:rPr>
                <w:lang w:val="ro-RO"/>
              </w:rPr>
            </w:pPr>
            <w:r>
              <w:rPr>
                <w:rFonts w:eastAsia="Carlito"/>
                <w:color w:val="20262B"/>
                <w:sz w:val="19"/>
                <w:lang w:val="ro-RO"/>
              </w:rPr>
              <w:t>Vizibilitate opacă și asimetrii de atenție</w:t>
            </w:r>
          </w:p>
        </w:tc>
      </w:tr>
      <w:tr w:rsidR="00947D72" w:rsidRPr="00BD1DA7" w14:paraId="7493468C" w14:textId="77777777">
        <w:trPr>
          <w:cantSplit/>
          <w:jc w:val="center"/>
        </w:trPr>
        <w:tc>
          <w:tcPr>
            <w:tcW w:w="2088" w:type="dxa"/>
            <w:tcMar>
              <w:top w:w="90" w:type="dxa"/>
              <w:left w:w="110" w:type="dxa"/>
              <w:bottom w:w="90" w:type="dxa"/>
              <w:right w:w="110" w:type="dxa"/>
            </w:tcMar>
            <w:vAlign w:val="center"/>
          </w:tcPr>
          <w:p w14:paraId="20DF09A9" w14:textId="77777777" w:rsidR="00947D72" w:rsidRPr="00BD1DA7" w:rsidRDefault="00000000">
            <w:pPr>
              <w:spacing w:after="0" w:line="240" w:lineRule="auto"/>
              <w:rPr>
                <w:lang w:val="ro-RO"/>
              </w:rPr>
            </w:pPr>
            <w:r>
              <w:rPr>
                <w:rFonts w:eastAsia="Carlito"/>
                <w:color w:val="20262B"/>
                <w:sz w:val="19"/>
                <w:lang w:val="ro-RO"/>
              </w:rPr>
              <w:t>Intervenție de integritate electorală</w:t>
            </w:r>
          </w:p>
        </w:tc>
        <w:tc>
          <w:tcPr>
            <w:tcW w:w="2088" w:type="dxa"/>
            <w:tcMar>
              <w:top w:w="90" w:type="dxa"/>
              <w:left w:w="110" w:type="dxa"/>
              <w:bottom w:w="90" w:type="dxa"/>
              <w:right w:w="110" w:type="dxa"/>
            </w:tcMar>
            <w:vAlign w:val="center"/>
          </w:tcPr>
          <w:p w14:paraId="27826C3E" w14:textId="77777777" w:rsidR="00947D72" w:rsidRPr="00BD1DA7" w:rsidRDefault="00000000">
            <w:pPr>
              <w:spacing w:after="0" w:line="240" w:lineRule="auto"/>
              <w:rPr>
                <w:lang w:val="ro-RO"/>
              </w:rPr>
            </w:pPr>
            <w:r>
              <w:rPr>
                <w:rFonts w:eastAsia="Carlito"/>
                <w:color w:val="20262B"/>
                <w:sz w:val="19"/>
                <w:lang w:val="ro-RO"/>
              </w:rPr>
              <w:t>Instanțe, autorități, platforme</w:t>
            </w:r>
          </w:p>
        </w:tc>
        <w:tc>
          <w:tcPr>
            <w:tcW w:w="2952" w:type="dxa"/>
            <w:tcMar>
              <w:top w:w="90" w:type="dxa"/>
              <w:left w:w="110" w:type="dxa"/>
              <w:bottom w:w="90" w:type="dxa"/>
              <w:right w:w="110" w:type="dxa"/>
            </w:tcMar>
            <w:vAlign w:val="center"/>
          </w:tcPr>
          <w:p w14:paraId="517F43D0" w14:textId="77777777" w:rsidR="00947D72" w:rsidRPr="00BD1DA7" w:rsidRDefault="00000000">
            <w:pPr>
              <w:spacing w:after="0" w:line="240" w:lineRule="auto"/>
              <w:rPr>
                <w:lang w:val="ro-RO"/>
              </w:rPr>
            </w:pPr>
            <w:r>
              <w:rPr>
                <w:rFonts w:eastAsia="Carlito"/>
                <w:color w:val="20262B"/>
                <w:sz w:val="19"/>
                <w:lang w:val="ro-RO"/>
              </w:rPr>
              <w:t>Sancțiuni, eliminarea conținutului, anularea scrutinului</w:t>
            </w:r>
          </w:p>
        </w:tc>
        <w:tc>
          <w:tcPr>
            <w:tcW w:w="3384" w:type="dxa"/>
            <w:tcMar>
              <w:top w:w="90" w:type="dxa"/>
              <w:left w:w="110" w:type="dxa"/>
              <w:bottom w:w="90" w:type="dxa"/>
              <w:right w:w="110" w:type="dxa"/>
            </w:tcMar>
            <w:vAlign w:val="center"/>
          </w:tcPr>
          <w:p w14:paraId="1A5972BC" w14:textId="77777777" w:rsidR="00947D72" w:rsidRPr="00BD1DA7" w:rsidRDefault="00000000">
            <w:pPr>
              <w:spacing w:after="0" w:line="240" w:lineRule="auto"/>
              <w:rPr>
                <w:lang w:val="ro-RO"/>
              </w:rPr>
            </w:pPr>
            <w:r>
              <w:rPr>
                <w:rFonts w:eastAsia="Carlito"/>
                <w:color w:val="20262B"/>
                <w:sz w:val="19"/>
                <w:lang w:val="ro-RO"/>
              </w:rPr>
              <w:t>Tensiune între protecția procesului și suveranitatea votului</w:t>
            </w:r>
          </w:p>
        </w:tc>
      </w:tr>
      <w:tr w:rsidR="00947D72" w:rsidRPr="00BD1DA7">
        <w:trPr>
          <w:jc w:val="center"/>
        </w:trPr>
        <w:tc>
          <w:tcPr>
            <w:tcW w:w="2469" w:type="dxa"/>
            <w:tcMar>
              <w:top w:w="90" w:type="dxa"/>
              <w:left w:w="110" w:type="dxa"/>
              <w:bottom w:w="90" w:type="dxa"/>
              <w:right w:w="110" w:type="dxa"/>
            </w:tcMar>
            <w:vAlign w:val="center"/>
          </w:tcPr>
          <w:p w:rsidR="00947D72" w:rsidRPr="00BD1DA7" w:rsidRDefault="00000000">
            <w:pPr>
              <w:spacing w:after="0"/>
              <w:rPr>
                <w:lang w:val="ro-RO"/>
              </w:rPr>
            </w:pPr>
            <w:r>
              <w:rPr>
                <w:sz w:val="19"/>
                <w:lang w:val="ro-RO"/>
              </w:rPr>
              <w:t>Intimidare juridică (SLAPP)</w:t>
            </w:r>
          </w:p>
        </w:tc>
        <w:tc>
          <w:tcPr>
            <w:tcW w:w="2469" w:type="dxa"/>
            <w:tcMar>
              <w:top w:w="90" w:type="dxa"/>
              <w:left w:w="110" w:type="dxa"/>
              <w:bottom w:w="90" w:type="dxa"/>
              <w:right w:w="110" w:type="dxa"/>
            </w:tcMar>
            <w:vAlign w:val="center"/>
          </w:tcPr>
          <w:p w:rsidR="00947D72" w:rsidRPr="00BD1DA7" w:rsidRDefault="00000000">
            <w:pPr>
              <w:spacing w:after="0"/>
              <w:rPr>
                <w:lang w:val="ro-RO"/>
              </w:rPr>
            </w:pPr>
            <w:r>
              <w:rPr>
                <w:sz w:val="19"/>
                <w:lang w:val="ro-RO"/>
              </w:rPr>
              <w:t>Reclamanți cu resurse (privați sau publici)</w:t>
            </w:r>
          </w:p>
        </w:tc>
        <w:tc>
          <w:tcPr>
            <w:tcW w:w="2469" w:type="dxa"/>
            <w:tcMar>
              <w:top w:w="90" w:type="dxa"/>
              <w:left w:w="110" w:type="dxa"/>
              <w:bottom w:w="90" w:type="dxa"/>
              <w:right w:w="110" w:type="dxa"/>
            </w:tcMar>
            <w:vAlign w:val="center"/>
          </w:tcPr>
          <w:p w:rsidR="00947D72" w:rsidRPr="00BD1DA7" w:rsidRDefault="00000000">
            <w:pPr>
              <w:spacing w:after="0"/>
              <w:rPr>
                <w:lang w:val="ro-RO"/>
              </w:rPr>
            </w:pPr>
            <w:r>
              <w:rPr>
                <w:sz w:val="19"/>
                <w:lang w:val="ro-RO"/>
              </w:rPr>
              <w:t>Acțiuni în justiție împovărătoare, despăgubiri disproporționate, costuri de procedură</w:t>
            </w:r>
          </w:p>
        </w:tc>
        <w:tc>
          <w:tcPr>
            <w:tcW w:w="2469" w:type="dxa"/>
            <w:tcMar>
              <w:top w:w="90" w:type="dxa"/>
              <w:left w:w="110" w:type="dxa"/>
              <w:bottom w:w="90" w:type="dxa"/>
              <w:right w:w="110" w:type="dxa"/>
            </w:tcMar>
            <w:vAlign w:val="center"/>
          </w:tcPr>
          <w:p w:rsidR="00947D72" w:rsidRPr="00BD1DA7" w:rsidRDefault="00000000">
            <w:pPr>
              <w:spacing w:after="0"/>
              <w:rPr>
                <w:lang w:val="ro-RO"/>
              </w:rPr>
            </w:pPr>
            <w:r>
              <w:rPr>
                <w:sz w:val="19"/>
                <w:lang w:val="ro-RO"/>
              </w:rPr>
              <w:t>Autocenzură prin cost juridic și epuizare procedurală, fără interdicție formală</w:t>
            </w:r>
          </w:p>
        </w:tc>
      </w:tr>
      <w:tr w:rsidR="00947D72" w:rsidRPr="00BD1DA7" w14:paraId="389D7C47" w14:textId="77777777">
        <w:trPr>
          <w:jc w:val="center"/>
        </w:trPr>
        <w:tc>
          <w:tcPr>
            <w:tcW w:w="2469" w:type="dxa"/>
            <w:tcMar>
              <w:top w:w="90" w:type="dxa"/>
              <w:left w:w="110" w:type="dxa"/>
              <w:bottom w:w="90" w:type="dxa"/>
              <w:right w:w="110" w:type="dxa"/>
            </w:tcMar>
            <w:vAlign w:val="center"/>
          </w:tcPr>
          <w:p w14:paraId="51066829" w14:textId="77777777" w:rsidR="00947D72" w:rsidRPr="00BD1DA7" w:rsidRDefault="00000000">
            <w:pPr>
              <w:spacing w:after="0"/>
              <w:rPr>
                <w:lang w:val="ro-RO"/>
              </w:rPr>
            </w:pPr>
            <w:r>
              <w:rPr>
                <w:sz w:val="19"/>
                <w:lang w:val="ro-RO"/>
              </w:rPr>
              <w:t>Sancțiune reputațională / ostracizare</w:t>
            </w:r>
          </w:p>
        </w:tc>
        <w:tc>
          <w:tcPr>
            <w:tcW w:w="2469" w:type="dxa"/>
            <w:tcMar>
              <w:top w:w="90" w:type="dxa"/>
              <w:left w:w="110" w:type="dxa"/>
              <w:bottom w:w="90" w:type="dxa"/>
              <w:right w:w="110" w:type="dxa"/>
            </w:tcMar>
            <w:vAlign w:val="center"/>
          </w:tcPr>
          <w:p w14:paraId="7DD6DE1C" w14:textId="77777777" w:rsidR="00947D72" w:rsidRPr="00BD1DA7" w:rsidRDefault="00000000">
            <w:pPr>
              <w:spacing w:after="0"/>
              <w:rPr>
                <w:lang w:val="ro-RO"/>
              </w:rPr>
            </w:pPr>
            <w:r>
              <w:rPr>
                <w:sz w:val="19"/>
                <w:lang w:val="ro-RO"/>
              </w:rPr>
              <w:t>Public, instituții, angajatori, platforme</w:t>
            </w:r>
          </w:p>
        </w:tc>
        <w:tc>
          <w:tcPr>
            <w:tcW w:w="2469" w:type="dxa"/>
            <w:tcMar>
              <w:top w:w="90" w:type="dxa"/>
              <w:left w:w="110" w:type="dxa"/>
              <w:bottom w:w="90" w:type="dxa"/>
              <w:right w:w="110" w:type="dxa"/>
            </w:tcMar>
            <w:vAlign w:val="center"/>
          </w:tcPr>
          <w:p w14:paraId="3713C39F" w14:textId="77777777" w:rsidR="00947D72" w:rsidRPr="00BD1DA7" w:rsidRDefault="00000000">
            <w:pPr>
              <w:spacing w:after="0"/>
              <w:rPr>
                <w:lang w:val="ro-RO"/>
              </w:rPr>
            </w:pPr>
            <w:r>
              <w:rPr>
                <w:sz w:val="19"/>
                <w:lang w:val="ro-RO"/>
              </w:rPr>
              <w:t>Boicot, campanii de presiune, retragerea invitațiilor, excludere, deplatformare</w:t>
            </w:r>
          </w:p>
        </w:tc>
        <w:tc>
          <w:tcPr>
            <w:tcW w:w="2469" w:type="dxa"/>
            <w:tcMar>
              <w:top w:w="90" w:type="dxa"/>
              <w:left w:w="110" w:type="dxa"/>
              <w:bottom w:w="90" w:type="dxa"/>
              <w:right w:w="110" w:type="dxa"/>
            </w:tcMar>
            <w:vAlign w:val="center"/>
          </w:tcPr>
          <w:p w14:paraId="0C447086" w14:textId="77777777" w:rsidR="00947D72" w:rsidRPr="00BD1DA7" w:rsidRDefault="00000000">
            <w:pPr>
              <w:spacing w:after="0"/>
              <w:rPr>
                <w:lang w:val="ro-RO"/>
              </w:rPr>
            </w:pPr>
            <w:r>
              <w:rPr>
                <w:sz w:val="19"/>
                <w:lang w:val="ro-RO"/>
              </w:rPr>
              <w:t>Efect de intimidare, autocenzură și reducerea pluralismului atunci când sancțiunea devine disproporționată sau fără procedură</w:t>
            </w:r>
          </w:p>
        </w:tc>
      </w:tr>
    </w:tbl>
    <w:p w14:paraId="0CB58118" w14:textId="77777777" w:rsidR="00947D72" w:rsidRPr="00BD1DA7" w:rsidRDefault="00947D72">
      <w:pPr>
        <w:spacing w:after="20"/>
        <w:rPr>
          <w:lang w:val="ro-RO"/>
        </w:rPr>
      </w:pPr>
    </w:p>
    <w:p w14:paraId="2A262C45" w14:textId="77777777" w:rsidR="00947D72" w:rsidRPr="00BD1DA7" w:rsidRDefault="00000000">
      <w:pPr>
        <w:rPr>
          <w:lang w:val="ro-RO"/>
        </w:rPr>
      </w:pPr>
      <w:r>
        <w:rPr>
          <w:rFonts w:eastAsia="Carlito"/>
          <w:color w:val="20262B"/>
          <w:lang w:val="ro-RO"/>
        </w:rPr>
        <w:t>Aceste mecanisme se pot suprapune. Un regim autoritar poate folosi simultan cenzură, propagandă și represiune. O democrație poate avea, fără a fi regim de cenzură, probleme serioase de captură economică, moderare netransparentă sau măsuri disproporționate. Analiza trebuie să arate cine decide, în baza cărei norme, cu ce probă, ce efect produce și ce cale de atac există.</w:t>
      </w:r>
    </w:p>
    <w:p w14:paraId="157D0F89" w14:textId="77777777" w:rsidR="00947D72" w:rsidRPr="00BD1DA7" w:rsidRDefault="00000000">
      <w:pPr>
        <w:pStyle w:val="Heading2"/>
        <w:spacing w:before="160" w:after="100"/>
        <w:rPr>
          <w:lang w:val="ro-RO"/>
        </w:rPr>
      </w:pPr>
      <w:r>
        <w:rPr>
          <w:rFonts w:ascii="Carlito" w:eastAsia="Carlito" w:hAnsi="Carlito"/>
          <w:color w:val="2C6975"/>
          <w:lang w:val="ro-RO"/>
        </w:rPr>
        <w:t>1.2 Criteriul-cheie: putere, procedură, remediu</w:t>
      </w:r>
    </w:p>
    <w:p w14:paraId="79C9C4A5" w14:textId="77777777" w:rsidR="00947D72" w:rsidRPr="00BD1DA7" w:rsidRDefault="00000000">
      <w:pPr>
        <w:rPr>
          <w:lang w:val="ro-RO"/>
        </w:rPr>
      </w:pPr>
      <w:r>
        <w:rPr>
          <w:rFonts w:eastAsia="Carlito"/>
          <w:color w:val="20262B"/>
          <w:lang w:val="ro-RO"/>
        </w:rPr>
        <w:t>Pentru perioada contemporană, eticheta este mai puțin utilă decât o grilă de control. O intervenție asupra informației este mai periculoasă democratic atunci când puterea de decizie este concentrată, criteriile sunt vagi, motivarea este secretă sau insuficientă, efectul este greu de observat, iar persoana afectată nu are o cale reală de contestare. Invers, transparența, necesitatea, proporționalitatea, durata limitată și controlul independent reduc riscul de abuz.</w:t>
      </w:r>
    </w:p>
    <w:tbl>
      <w:tblPr>
        <w:tblW w:w="0" w:type="auto"/>
        <w:jc w:val="center"/>
        <w:tblBorders>
          <w:top w:val="single" w:sz="8" w:space="0" w:color="356B4E"/>
          <w:left w:val="single" w:sz="8" w:space="0" w:color="356B4E"/>
          <w:bottom w:val="single" w:sz="8" w:space="0" w:color="356B4E"/>
          <w:right w:val="single" w:sz="8" w:space="0" w:color="356B4E"/>
          <w:insideH w:val="single" w:sz="8" w:space="0" w:color="356B4E"/>
          <w:insideV w:val="single" w:sz="8" w:space="0" w:color="356B4E"/>
        </w:tblBorders>
        <w:tblLook w:val="04A0" w:firstRow="1" w:lastRow="0" w:firstColumn="1" w:lastColumn="0" w:noHBand="0" w:noVBand="1"/>
      </w:tblPr>
      <w:tblGrid>
        <w:gridCol w:w="9858"/>
      </w:tblGrid>
      <w:tr w:rsidR="00947D72" w:rsidRPr="00BD1DA7" w14:paraId="33506754" w14:textId="77777777">
        <w:trPr>
          <w:cantSplit/>
          <w:jc w:val="center"/>
        </w:trPr>
        <w:tc>
          <w:tcPr>
            <w:tcW w:w="9878" w:type="dxa"/>
            <w:shd w:val="clear" w:color="auto" w:fill="EEF6F0"/>
            <w:tcMar>
              <w:top w:w="120" w:type="dxa"/>
              <w:left w:w="150" w:type="dxa"/>
              <w:bottom w:w="120" w:type="dxa"/>
              <w:right w:w="150" w:type="dxa"/>
            </w:tcMar>
          </w:tcPr>
          <w:p w14:paraId="4C89F1E4" w14:textId="77777777" w:rsidR="00947D72" w:rsidRPr="00BD1DA7" w:rsidRDefault="00000000">
            <w:pPr>
              <w:spacing w:after="40"/>
              <w:rPr>
                <w:lang w:val="ro-RO"/>
              </w:rPr>
            </w:pPr>
            <w:r>
              <w:rPr>
                <w:rFonts w:eastAsia="Carlito"/>
                <w:b/>
                <w:color w:val="356B4E"/>
                <w:sz w:val="18"/>
                <w:lang w:val="ro-RO"/>
              </w:rPr>
              <w:t>Principiu de lucru</w:t>
            </w:r>
          </w:p>
          <w:p w14:paraId="63118CB8" w14:textId="77777777" w:rsidR="00947D72" w:rsidRPr="00BD1DA7" w:rsidRDefault="00000000">
            <w:pPr>
              <w:spacing w:after="0" w:line="252" w:lineRule="auto"/>
              <w:rPr>
                <w:lang w:val="ro-RO"/>
              </w:rPr>
            </w:pPr>
            <w:r>
              <w:rPr>
                <w:rFonts w:eastAsia="Carlito"/>
                <w:color w:val="20262B"/>
                <w:sz w:val="18"/>
                <w:lang w:val="ro-RO"/>
              </w:rPr>
              <w:t>Nu întrebăm doar „este cenzură?”, ci: cine exercită puterea, asupra cui, în baza cărei norme, cu ce probă, cu ce efect și cu ce remediu?</w:t>
            </w:r>
          </w:p>
        </w:tc>
      </w:tr>
    </w:tbl>
    <w:p w14:paraId="2E98DE5A" w14:textId="77777777" w:rsidR="00947D72" w:rsidRPr="00BD1DA7" w:rsidRDefault="00947D72">
      <w:pPr>
        <w:spacing w:after="20"/>
        <w:rPr>
          <w:lang w:val="ro-RO"/>
        </w:rPr>
      </w:pPr>
    </w:p>
    <w:p w14:paraId="3996FE8F" w14:textId="77777777" w:rsidR="00947D72" w:rsidRPr="00BD1DA7" w:rsidRDefault="00000000">
      <w:pPr>
        <w:pStyle w:val="Heading1"/>
        <w:spacing w:before="220" w:after="100"/>
        <w:rPr>
          <w:lang w:val="ro-RO"/>
        </w:rPr>
      </w:pPr>
      <w:r>
        <w:rPr>
          <w:rFonts w:ascii="Carlito" w:eastAsia="Carlito" w:hAnsi="Carlito"/>
          <w:color w:val="17324D"/>
          <w:sz w:val="34"/>
          <w:lang w:val="ro-RO"/>
        </w:rPr>
        <w:lastRenderedPageBreak/>
        <w:t>2. Secolul al XIX-lea: represiune politică, tipar și revoluție</w:t>
      </w:r>
    </w:p>
    <w:p w14:paraId="70B081F2" w14:textId="77777777" w:rsidR="00947D72" w:rsidRPr="00BD1DA7" w:rsidRDefault="00000000">
      <w:pPr>
        <w:rPr>
          <w:lang w:val="ro-RO"/>
        </w:rPr>
      </w:pPr>
      <w:r>
        <w:rPr>
          <w:rFonts w:eastAsia="Carlito"/>
          <w:color w:val="20262B"/>
          <w:lang w:val="ro-RO"/>
        </w:rPr>
        <w:t>În secolul al XIX-lea, teritoriile locuite de români s-au aflat sub regimuri politice și juridice diferite, iar controlul informației nu poate fi redus la o singură „paradigmă imperială”. Principatele, Transilvania și Bucovina au cunoscut combinații diferite de supraveghere administrativă, control al tiparului, represiune post-revoluționară și negociere a autonomiei. Presa modernă abia se forma, iar statutul ei depindea de contextul politic local și de momentele de criză.</w:t>
      </w:r>
    </w:p>
    <w:p w14:paraId="3E76247D" w14:textId="77777777" w:rsidR="00947D72" w:rsidRPr="00BD1DA7" w:rsidRDefault="00000000">
      <w:pPr>
        <w:pStyle w:val="Heading2"/>
        <w:spacing w:before="160" w:after="100"/>
        <w:rPr>
          <w:lang w:val="ro-RO"/>
        </w:rPr>
      </w:pPr>
      <w:r>
        <w:rPr>
          <w:rFonts w:ascii="Carlito" w:eastAsia="Carlito" w:hAnsi="Carlito"/>
          <w:color w:val="2C6975"/>
          <w:lang w:val="ro-RO"/>
        </w:rPr>
        <w:t>2.1 Tudor Vladimirescu: violență politică, nu exemplu de cenzură</w:t>
      </w:r>
    </w:p>
    <w:p w14:paraId="5562A7C0" w14:textId="77777777" w:rsidR="00947D72" w:rsidRPr="00BD1DA7" w:rsidRDefault="00000000">
      <w:pPr>
        <w:rPr>
          <w:lang w:val="ro-RO"/>
        </w:rPr>
      </w:pPr>
      <w:r>
        <w:rPr>
          <w:rFonts w:eastAsia="Carlito"/>
          <w:color w:val="20262B"/>
          <w:lang w:val="ro-RO"/>
        </w:rPr>
        <w:t>Tudor Vladimirescu este important pentru istoria politică a anului 1821, dar asasinarea lui nu este, în sens strict, un caz de cenzură. Este un caz de conflict politic și eliminare violentă a unui lider. Folosirea lui într-o istorie a controlului informațional este legitimă doar ca exemplu al unei epoci în care neutralizarea persoanei putea preceda nevoia unui aparat sofisticat de control al mesajului.</w:t>
      </w:r>
    </w:p>
    <w:p w14:paraId="44CA5082" w14:textId="77777777" w:rsidR="00947D72" w:rsidRPr="00BD1DA7" w:rsidRDefault="00000000">
      <w:pPr>
        <w:rPr>
          <w:lang w:val="ro-RO"/>
        </w:rPr>
      </w:pPr>
      <w:r>
        <w:rPr>
          <w:rFonts w:eastAsia="Carlito"/>
          <w:color w:val="20262B"/>
          <w:lang w:val="ro-RO"/>
        </w:rPr>
        <w:t>Versiunea inițială îl descria prin formule precum „om de afaceri orientat spre piață liberă” și contrapunea un presupus profil „capitalist” unui „erou proletar” creat de comunism. O asemenea schemă este prea modernă pentru contextul social și economic al începutului de secol XIX și prea categorică pentru a funcționa fără o demonstrație istoriografică detaliată. Ediția de față renunță la această opoziție.</w:t>
      </w:r>
    </w:p>
    <w:p w14:paraId="207F6A50" w14:textId="77777777" w:rsidR="00947D72" w:rsidRPr="00BD1DA7" w:rsidRDefault="00000000">
      <w:pPr>
        <w:pStyle w:val="Heading2"/>
        <w:spacing w:before="160" w:after="100"/>
        <w:rPr>
          <w:lang w:val="ro-RO"/>
        </w:rPr>
      </w:pPr>
      <w:r>
        <w:rPr>
          <w:rFonts w:ascii="Carlito" w:eastAsia="Carlito" w:hAnsi="Carlito"/>
          <w:color w:val="2C6975"/>
          <w:lang w:val="ro-RO"/>
        </w:rPr>
        <w:t>2.2 1848 și apariția publicului politic modern</w:t>
      </w:r>
    </w:p>
    <w:p w14:paraId="531E45CB" w14:textId="77777777" w:rsidR="00947D72" w:rsidRPr="00BD1DA7" w:rsidRDefault="00000000">
      <w:pPr>
        <w:rPr>
          <w:lang w:val="ro-RO"/>
        </w:rPr>
      </w:pPr>
      <w:r>
        <w:rPr>
          <w:rFonts w:eastAsia="Carlito"/>
          <w:color w:val="20262B"/>
          <w:lang w:val="ro-RO"/>
        </w:rPr>
        <w:t>Revoluțiile de la 1848 oferă un teren mai potrivit pentru studiul relației dintre presă, autoritate și mobilizare. Proclamații, gazete, poezie civică și corespondență politică au devenit infrastructuri ale participării publice. Reacția autorităților după înfrângerea revoluțiilor a inclus supraveghere și restricții asupra presei și circulației mesajelor. În acest context, figuri culturale precum Andrei Mureșanu pot fi analizate prin rolul textului în mobilizarea națională, dar afirmațiile biografice despre „șicanări” trebuie susținute documentar, nu deduse din simbolismul ulterior al operei.</w:t>
      </w:r>
    </w:p>
    <w:p w14:paraId="4B686891" w14:textId="77777777" w:rsidR="00947D72" w:rsidRPr="00BD1DA7" w:rsidRDefault="00000000">
      <w:pPr>
        <w:rPr>
          <w:lang w:val="ro-RO"/>
        </w:rPr>
      </w:pPr>
      <w:r>
        <w:rPr>
          <w:rFonts w:eastAsia="Carlito"/>
          <w:color w:val="20262B"/>
          <w:lang w:val="ro-RO"/>
        </w:rPr>
        <w:t>Prima lecție a secolului XIX este, deci, una de metodă: controlul informației apare acolo unde se formează un public politic capabil să transforme textul în acțiune colectivă. Dar represiunea politică și cenzura presei nu sunt același lucru.</w:t>
      </w:r>
    </w:p>
    <w:p w14:paraId="7F806B1F" w14:textId="77777777" w:rsidR="00947D72" w:rsidRPr="00BD1DA7" w:rsidRDefault="00000000">
      <w:pPr>
        <w:pStyle w:val="Heading1"/>
        <w:spacing w:before="220" w:after="100"/>
        <w:rPr>
          <w:lang w:val="ro-RO"/>
        </w:rPr>
      </w:pPr>
      <w:r>
        <w:rPr>
          <w:rFonts w:ascii="Carlito" w:eastAsia="Carlito" w:hAnsi="Carlito"/>
          <w:color w:val="17324D"/>
          <w:sz w:val="34"/>
          <w:lang w:val="ro-RO"/>
        </w:rPr>
        <w:t>3. 1900-1947: coerciție legală, autoritarism și persecuție rasială</w:t>
      </w:r>
    </w:p>
    <w:p w14:paraId="7C9A8C67" w14:textId="77777777" w:rsidR="00947D72" w:rsidRPr="00BD1DA7" w:rsidRDefault="00000000">
      <w:pPr>
        <w:rPr>
          <w:lang w:val="ro-RO"/>
        </w:rPr>
      </w:pPr>
      <w:r>
        <w:rPr>
          <w:rFonts w:eastAsia="Carlito"/>
          <w:color w:val="20262B"/>
          <w:lang w:val="ro-RO"/>
        </w:rPr>
        <w:t>Prima jumătate a secolului XX aduce o densitate mult mai mare de forme de control: legislație penală și de presă, stări de asediu, dictaturi, violență politică, antisemitism de stat, război și propagandă. A le pune pe toate sub eticheta „cenzură” ar șterge diferențe morale și instituționale decisive.</w:t>
      </w:r>
    </w:p>
    <w:p w14:paraId="50094D45" w14:textId="77777777" w:rsidR="00947D72" w:rsidRPr="00BD1DA7" w:rsidRDefault="00000000">
      <w:pPr>
        <w:pStyle w:val="Heading2"/>
        <w:spacing w:before="160" w:after="100"/>
        <w:rPr>
          <w:lang w:val="ro-RO"/>
        </w:rPr>
      </w:pPr>
      <w:r>
        <w:rPr>
          <w:rFonts w:ascii="Carlito" w:eastAsia="Carlito" w:hAnsi="Carlito"/>
          <w:color w:val="2C6975"/>
          <w:lang w:val="ro-RO"/>
        </w:rPr>
        <w:t>3.1 Octavian Goga: corecția unei cronologii</w:t>
      </w:r>
    </w:p>
    <w:p w14:paraId="0FE621AB" w14:textId="77777777" w:rsidR="00947D72" w:rsidRPr="00BD1DA7" w:rsidRDefault="00000000">
      <w:pPr>
        <w:rPr>
          <w:lang w:val="ro-RO"/>
        </w:rPr>
      </w:pPr>
      <w:r>
        <w:rPr>
          <w:rFonts w:eastAsia="Carlito"/>
          <w:color w:val="20262B"/>
          <w:lang w:val="ro-RO"/>
        </w:rPr>
        <w:t>Activitatea publicistică și politică a lui Octavian Goga a intrat în conflict cu autoritățile austro-ungare. În versiunea inițială, încarcerarea sa la Seghedin era datată 1911. Cronologia corectă distinge între urmărirea/procesul din 1911 și detenția executată în 1912. Detaliul este aparent mic, dar indică de ce o sinteză istorică trebuie să separe acuzația, procesul și executarea pedepsei.</w:t>
      </w:r>
    </w:p>
    <w:p w14:paraId="0AA6492F" w14:textId="77777777" w:rsidR="00947D72" w:rsidRPr="00BD1DA7" w:rsidRDefault="00000000">
      <w:pPr>
        <w:pStyle w:val="Heading2"/>
        <w:spacing w:before="160" w:after="100"/>
        <w:rPr>
          <w:lang w:val="ro-RO"/>
        </w:rPr>
      </w:pPr>
      <w:r>
        <w:rPr>
          <w:rFonts w:ascii="Carlito" w:eastAsia="Carlito" w:hAnsi="Carlito"/>
          <w:color w:val="2C6975"/>
          <w:lang w:val="ro-RO"/>
        </w:rPr>
        <w:t>3.2 Tristan Tzara: plecare și avangardă, nu „exil forțat” demonstrat</w:t>
      </w:r>
    </w:p>
    <w:p w14:paraId="28523C0F" w14:textId="77777777" w:rsidR="00947D72" w:rsidRPr="00BD1DA7" w:rsidRDefault="00000000">
      <w:pPr>
        <w:rPr>
          <w:lang w:val="ro-RO"/>
        </w:rPr>
      </w:pPr>
      <w:r>
        <w:rPr>
          <w:rFonts w:eastAsia="Carlito"/>
          <w:color w:val="20262B"/>
          <w:lang w:val="ro-RO"/>
        </w:rPr>
        <w:t>Tristan Tzara a plecat din România în 1915 și s-a stabilit la Zürich, unde a devenit una dintre figurile fondatoare ale dadaismului. Prezentarea plecării sale drept „exil forțat” nu este susținută suficient de biografiile standard și este eliminată din această ediție. Avangarda poate fi analizată în raport cu conflictul cultural și politic, dar nu orice emigrare a unui artist nonconformist este exil impus de stat.</w:t>
      </w:r>
    </w:p>
    <w:p w14:paraId="75D6D6D3" w14:textId="77777777" w:rsidR="00947D72" w:rsidRPr="00BD1DA7" w:rsidRDefault="00000000">
      <w:pPr>
        <w:pStyle w:val="Heading2"/>
        <w:spacing w:before="160" w:after="100"/>
        <w:rPr>
          <w:lang w:val="ro-RO"/>
        </w:rPr>
      </w:pPr>
      <w:r>
        <w:rPr>
          <w:rFonts w:ascii="Carlito" w:eastAsia="Carlito" w:hAnsi="Carlito"/>
          <w:color w:val="2C6975"/>
          <w:lang w:val="ro-RO"/>
        </w:rPr>
        <w:lastRenderedPageBreak/>
        <w:t>3.3 Barbu Fundoianu și limita analogiei</w:t>
      </w:r>
    </w:p>
    <w:p w14:paraId="4DFC5284" w14:textId="77777777" w:rsidR="00947D72" w:rsidRPr="00BD1DA7" w:rsidRDefault="00000000">
      <w:pPr>
        <w:rPr>
          <w:lang w:val="ro-RO"/>
        </w:rPr>
      </w:pPr>
      <w:r>
        <w:rPr>
          <w:rFonts w:eastAsia="Carlito"/>
          <w:color w:val="20262B"/>
          <w:lang w:val="ro-RO"/>
        </w:rPr>
        <w:t>Deportarea și moartea lui Barbu Fundoianu la Auschwitz aparțin istoriei Holocaustului. Persecuția și exterminarea rasială sunt crime de stat și genocid; ele nu trebuie reduse la o metaforă despre „cenzurarea” unei voci. În România și în teritoriile administrate de autoritățile române, regimul Antonescu a participat la persecuția, deportarea și uciderea evreilor și romilor. Istoria controlului informațional poate analiza propaganda antisemită și legislația discriminatorie, dar exterminarea fizică trebuie numită prin categoria ei proprie.</w:t>
      </w:r>
      <w:r>
        <w:rPr>
          <w:rFonts w:eastAsia="Carlito"/>
          <w:color w:val="2C6975"/>
          <w:sz w:val="16"/>
          <w:vertAlign w:val="superscript"/>
          <w:lang w:val="ro-RO"/>
        </w:rPr>
        <w:t xml:space="preserve"> [S15]</w:t>
      </w:r>
    </w:p>
    <w:p w14:paraId="63F66127" w14:textId="77777777" w:rsidR="00947D72" w:rsidRPr="00BD1DA7" w:rsidRDefault="00000000">
      <w:pPr>
        <w:pStyle w:val="Heading2"/>
        <w:spacing w:before="160" w:after="100"/>
        <w:rPr>
          <w:lang w:val="ro-RO"/>
        </w:rPr>
      </w:pPr>
      <w:r>
        <w:rPr>
          <w:rFonts w:ascii="Carlito" w:eastAsia="Carlito" w:hAnsi="Carlito"/>
          <w:color w:val="2C6975"/>
          <w:lang w:val="ro-RO"/>
        </w:rPr>
        <w:t>3.4 Regimurile autoritare nu sunt interschimbabile</w:t>
      </w:r>
    </w:p>
    <w:p w14:paraId="7DF9EEC7" w14:textId="77777777" w:rsidR="00947D72" w:rsidRPr="00BD1DA7" w:rsidRDefault="00000000">
      <w:pPr>
        <w:rPr>
          <w:lang w:val="ro-RO"/>
        </w:rPr>
      </w:pPr>
      <w:r>
        <w:rPr>
          <w:rFonts w:eastAsia="Carlito"/>
          <w:color w:val="20262B"/>
          <w:lang w:val="ro-RO"/>
        </w:rPr>
        <w:t>Dictatura regală, Statul Național-Legionar și regimul Antonescu au avut ideologii, instituții și grade diferite de control. Ceea ce le unește pentru această analiză este slăbirea pluralismului și folosirea puterii coercitive asupra presei și adversarilor. Ceea ce le separă este la fel de important: actorii, legislația, obiectivele și, în cazul Holocaustului, trecerea de la discriminare și propagandă la deportare și exterminare.</w:t>
      </w:r>
    </w:p>
    <w:tbl>
      <w:tblPr>
        <w:tblW w:w="0" w:type="auto"/>
        <w:jc w:val="center"/>
        <w:tblBorders>
          <w:top w:val="single" w:sz="8" w:space="0" w:color="A43D3D"/>
          <w:left w:val="single" w:sz="8" w:space="0" w:color="A43D3D"/>
          <w:bottom w:val="single" w:sz="8" w:space="0" w:color="A43D3D"/>
          <w:right w:val="single" w:sz="8" w:space="0" w:color="A43D3D"/>
          <w:insideH w:val="single" w:sz="8" w:space="0" w:color="A43D3D"/>
          <w:insideV w:val="single" w:sz="8" w:space="0" w:color="A43D3D"/>
        </w:tblBorders>
        <w:tblLook w:val="04A0" w:firstRow="1" w:lastRow="0" w:firstColumn="1" w:lastColumn="0" w:noHBand="0" w:noVBand="1"/>
      </w:tblPr>
      <w:tblGrid>
        <w:gridCol w:w="9858"/>
      </w:tblGrid>
      <w:tr w:rsidR="00947D72" w:rsidRPr="00BD1DA7" w14:paraId="1B8C65FB" w14:textId="77777777">
        <w:trPr>
          <w:cantSplit/>
          <w:jc w:val="center"/>
        </w:trPr>
        <w:tc>
          <w:tcPr>
            <w:tcW w:w="9878" w:type="dxa"/>
            <w:shd w:val="clear" w:color="auto" w:fill="FDEEEE"/>
            <w:tcMar>
              <w:top w:w="120" w:type="dxa"/>
              <w:left w:w="150" w:type="dxa"/>
              <w:bottom w:w="120" w:type="dxa"/>
              <w:right w:w="150" w:type="dxa"/>
            </w:tcMar>
          </w:tcPr>
          <w:p w14:paraId="784A51C9" w14:textId="77777777" w:rsidR="00947D72" w:rsidRPr="00BD1DA7" w:rsidRDefault="00000000">
            <w:pPr>
              <w:spacing w:after="40"/>
              <w:rPr>
                <w:lang w:val="ro-RO"/>
              </w:rPr>
            </w:pPr>
            <w:r>
              <w:rPr>
                <w:rFonts w:eastAsia="Carlito"/>
                <w:b/>
                <w:color w:val="A43D3D"/>
                <w:sz w:val="18"/>
                <w:lang w:val="ro-RO"/>
              </w:rPr>
              <w:t>Corecție conceptuală</w:t>
            </w:r>
          </w:p>
          <w:p w14:paraId="563071D9" w14:textId="77777777" w:rsidR="00947D72" w:rsidRPr="00BD1DA7" w:rsidRDefault="00000000">
            <w:pPr>
              <w:spacing w:after="0" w:line="252" w:lineRule="auto"/>
              <w:rPr>
                <w:lang w:val="ro-RO"/>
              </w:rPr>
            </w:pPr>
            <w:r>
              <w:rPr>
                <w:rFonts w:eastAsia="Carlito"/>
                <w:color w:val="20262B"/>
                <w:sz w:val="18"/>
                <w:lang w:val="ro-RO"/>
              </w:rPr>
              <w:t>Genocidul nu este „o formă extremă de cenzură”. Propaganda poate pregăti persecuția, iar controlul informației poate proteja autorii crimelor, dar exterminarea aparține unei categorii distincte de violență de stat.</w:t>
            </w:r>
          </w:p>
        </w:tc>
      </w:tr>
    </w:tbl>
    <w:p w14:paraId="743100FB" w14:textId="77777777" w:rsidR="00947D72" w:rsidRPr="00BD1DA7" w:rsidRDefault="00947D72">
      <w:pPr>
        <w:spacing w:after="20"/>
        <w:rPr>
          <w:lang w:val="ro-RO"/>
        </w:rPr>
      </w:pPr>
    </w:p>
    <w:p w14:paraId="16FFA33C" w14:textId="77777777" w:rsidR="00947D72" w:rsidRPr="00BD1DA7" w:rsidRDefault="00000000">
      <w:pPr>
        <w:pStyle w:val="Heading1"/>
        <w:spacing w:before="220" w:after="100"/>
        <w:rPr>
          <w:lang w:val="ro-RO"/>
        </w:rPr>
      </w:pPr>
      <w:r>
        <w:rPr>
          <w:rFonts w:ascii="Carlito" w:eastAsia="Carlito" w:hAnsi="Carlito"/>
          <w:color w:val="17324D"/>
          <w:sz w:val="34"/>
          <w:lang w:val="ro-RO"/>
        </w:rPr>
        <w:t>4. 1948-1989: cenzură instituționalizată și control totalizant</w:t>
      </w:r>
    </w:p>
    <w:p w14:paraId="6825E69F" w14:textId="77777777" w:rsidR="00947D72" w:rsidRPr="00BD1DA7" w:rsidRDefault="00000000">
      <w:pPr>
        <w:rPr>
          <w:lang w:val="ro-RO"/>
        </w:rPr>
      </w:pPr>
      <w:r>
        <w:rPr>
          <w:rFonts w:eastAsia="Carlito"/>
          <w:color w:val="20262B"/>
          <w:lang w:val="ro-RO"/>
        </w:rPr>
        <w:t>Regimul comunist este perioada în care termenul „cenzură” poate fi aplicat cel mai direct unui sistem coerent și centralizat de control. După monopolizarea puterii politice, partidul-stat a transformat presa, editurile, radioul, televiziunea, școala și producția culturală în componente ale unei ordini ideologice. Cenzura nu era doar o reacție la texte „periculoase”; era o etapă structurală a producerii și circulației culturii.</w:t>
      </w:r>
    </w:p>
    <w:p w14:paraId="110D59F3" w14:textId="77777777" w:rsidR="00947D72" w:rsidRPr="00BD1DA7" w:rsidRDefault="00000000">
      <w:pPr>
        <w:pStyle w:val="Heading2"/>
        <w:spacing w:before="160" w:after="100"/>
        <w:rPr>
          <w:lang w:val="ro-RO"/>
        </w:rPr>
      </w:pPr>
      <w:r>
        <w:rPr>
          <w:rFonts w:ascii="Carlito" w:eastAsia="Carlito" w:hAnsi="Carlito"/>
          <w:color w:val="2C6975"/>
          <w:lang w:val="ro-RO"/>
        </w:rPr>
        <w:t>4.1 Instituția cenzurii</w:t>
      </w:r>
    </w:p>
    <w:p w14:paraId="4840803D" w14:textId="77777777" w:rsidR="00947D72" w:rsidRPr="00BD1DA7" w:rsidRDefault="00000000">
      <w:pPr>
        <w:rPr>
          <w:lang w:val="ro-RO"/>
        </w:rPr>
      </w:pPr>
      <w:r>
        <w:rPr>
          <w:rFonts w:eastAsia="Carlito"/>
          <w:color w:val="20262B"/>
          <w:lang w:val="ro-RO"/>
        </w:rPr>
        <w:t>Direcția Generală a Presei și Tipăriturilor (DGPT) a fost creată în 1949, pe model sovietic, și a funcționat cu personal specializat, proceduri, liste și criterii de control. Cercetările IICCMER și lucrările Lilianei Corobca documentează profilul cenzorilor, poziția instituțională și transformarea practicilor de control. În 1975 instituția a fost reorganizată, iar în 1977 cenzura instituțională în forma DGPT a fost formal desființată; controlul nu a dispărut, ci s-a mutat și s-a distribuit către redacții, structuri de partid, organisme culturale și mecanisme de autocenzură.</w:t>
      </w:r>
      <w:r>
        <w:rPr>
          <w:rFonts w:eastAsia="Carlito"/>
          <w:color w:val="2C6975"/>
          <w:sz w:val="16"/>
          <w:vertAlign w:val="superscript"/>
          <w:lang w:val="ro-RO"/>
        </w:rPr>
        <w:t xml:space="preserve"> [S13,S14]</w:t>
      </w:r>
    </w:p>
    <w:p w14:paraId="6D849081" w14:textId="77777777" w:rsidR="00947D72" w:rsidRPr="00BD1DA7" w:rsidRDefault="00000000">
      <w:pPr>
        <w:pStyle w:val="Heading2"/>
        <w:spacing w:before="160" w:after="100"/>
        <w:rPr>
          <w:lang w:val="ro-RO"/>
        </w:rPr>
      </w:pPr>
      <w:r>
        <w:rPr>
          <w:rFonts w:ascii="Carlito" w:eastAsia="Carlito" w:hAnsi="Carlito"/>
          <w:color w:val="2C6975"/>
          <w:lang w:val="ro-RO"/>
        </w:rPr>
        <w:t>4.2 Cenzură, Securitate și represiune: mecanisme distincte care cooperează</w:t>
      </w:r>
    </w:p>
    <w:p w14:paraId="11A897BB" w14:textId="77777777" w:rsidR="00947D72" w:rsidRPr="00BD1DA7" w:rsidRDefault="00000000">
      <w:pPr>
        <w:rPr>
          <w:lang w:val="ro-RO"/>
        </w:rPr>
      </w:pPr>
      <w:r>
        <w:rPr>
          <w:rFonts w:eastAsia="Carlito"/>
          <w:color w:val="20262B"/>
          <w:lang w:val="ro-RO"/>
        </w:rPr>
        <w:t>Un autor putea fi afectat în mai multe feluri: textul putea fi respins sau modificat înainte de publicare; editura putea evita subiectul; tirajul putea fi limitat; aparițiile publice puteau fi controlate; iar în cazurile de opoziție politică, Securitatea și sistemul penal puteau interveni. Tocmai această suprapunere explică forța sistemului. Cenzura editorială nu trebuie confundată cu ancheta penală, detenția sau violența carcerală, deși toate făceau parte din aceeași ordine politică.</w:t>
      </w:r>
    </w:p>
    <w:p w14:paraId="0BD1A5F2" w14:textId="77777777" w:rsidR="00947D72" w:rsidRPr="00BD1DA7" w:rsidRDefault="00000000">
      <w:pPr>
        <w:pStyle w:val="Heading2"/>
        <w:spacing w:before="160" w:after="100"/>
        <w:rPr>
          <w:lang w:val="ro-RO"/>
        </w:rPr>
      </w:pPr>
      <w:r>
        <w:rPr>
          <w:rFonts w:ascii="Carlito" w:eastAsia="Carlito" w:hAnsi="Carlito"/>
          <w:color w:val="2C6975"/>
          <w:lang w:val="ro-RO"/>
        </w:rPr>
        <w:t>4.3 Cazurile scriitorilor: evitarea formulelor globale</w:t>
      </w:r>
    </w:p>
    <w:p w14:paraId="04D7F38F" w14:textId="77777777" w:rsidR="00947D72" w:rsidRPr="00BD1DA7" w:rsidRDefault="00000000">
      <w:pPr>
        <w:rPr>
          <w:lang w:val="ro-RO"/>
        </w:rPr>
      </w:pPr>
      <w:r>
        <w:rPr>
          <w:rFonts w:eastAsia="Carlito"/>
          <w:color w:val="20262B"/>
          <w:lang w:val="ro-RO"/>
        </w:rPr>
        <w:t xml:space="preserve">Lucian Blaga și Tudor Arghezi au cunoscut perioade de marginalizare și restricție editorială, însă biografiile lor nu sunt identice și nici nu pot fi rezumate prin formula „interziși până în 1989”. Radu Gyr a fost deținut politic și condamnat sever, inclusiv pentru poezie cu caracter anticomunist. Vasile Voiculescu a fost arestat în 1958 în dosarul „Rugului Aprins” și condamnat pentru „uneltire contra ordinii sociale”. A </w:t>
        <w:lastRenderedPageBreak/>
        <w:t>spune pur și simplu că „poezia a devenit infracțiune de stat” comprimă prea mult tipuri diferite de acuzații, contexte și trasee represive.</w:t>
      </w:r>
    </w:p>
    <w:p w14:paraId="6BA762BA" w14:textId="77777777" w:rsidR="00947D72" w:rsidRPr="00BD1DA7" w:rsidRDefault="00000000">
      <w:pPr>
        <w:pStyle w:val="Heading2"/>
        <w:spacing w:before="160" w:after="100"/>
        <w:rPr>
          <w:lang w:val="ro-RO"/>
        </w:rPr>
      </w:pPr>
      <w:r>
        <w:rPr>
          <w:rFonts w:ascii="Carlito" w:eastAsia="Carlito" w:hAnsi="Carlito"/>
          <w:color w:val="2C6975"/>
          <w:lang w:val="ro-RO"/>
        </w:rPr>
        <w:t>4.4 Reeducarea de la Pitești: represiune carcerală, nu cenzură literară</w:t>
      </w:r>
    </w:p>
    <w:p w14:paraId="0F83791A" w14:textId="77777777" w:rsidR="00947D72" w:rsidRPr="00BD1DA7" w:rsidRDefault="00000000">
      <w:pPr>
        <w:rPr>
          <w:lang w:val="ro-RO"/>
        </w:rPr>
      </w:pPr>
      <w:r>
        <w:rPr>
          <w:rFonts w:eastAsia="Carlito"/>
          <w:color w:val="20262B"/>
          <w:lang w:val="ro-RO"/>
        </w:rPr>
        <w:t>Experimentul de reeducare de la Pitești trebuie păstrat în istoria represiunii comuniste, dar nu ca exemplu direct de cenzură. El aparține violenței carcerale și încercării de distrugere a identității și solidarității deținuților. Relevanța pentru controlul informațional este indirectă: frica și coerciția extremă au contribuit la disciplinarea societății și la reducerea spațiului pentru opoziție.</w:t>
      </w:r>
    </w:p>
    <w:p w14:paraId="41C993EA" w14:textId="77777777" w:rsidR="00947D72" w:rsidRPr="00BD1DA7" w:rsidRDefault="00000000">
      <w:pPr>
        <w:pStyle w:val="Heading2"/>
        <w:spacing w:before="160" w:after="100"/>
        <w:rPr>
          <w:lang w:val="ro-RO"/>
        </w:rPr>
      </w:pPr>
      <w:r>
        <w:rPr>
          <w:rFonts w:ascii="Carlito" w:eastAsia="Carlito" w:hAnsi="Carlito"/>
          <w:color w:val="2C6975"/>
          <w:lang w:val="ro-RO"/>
        </w:rPr>
        <w:t>4.5 Istoriografia oficială: de la sovietizare la național-comunism</w:t>
      </w:r>
    </w:p>
    <w:p w14:paraId="6D3C5E0F" w14:textId="77777777" w:rsidR="00947D72" w:rsidRPr="00BD1DA7" w:rsidRDefault="00000000">
      <w:pPr>
        <w:rPr>
          <w:lang w:val="ro-RO"/>
        </w:rPr>
      </w:pPr>
      <w:r>
        <w:rPr>
          <w:rFonts w:eastAsia="Carlito"/>
          <w:color w:val="20262B"/>
          <w:lang w:val="ro-RO"/>
        </w:rPr>
        <w:t>Regimul comunist a reinterpretat trecutul în funcție de nevoile ideologice ale prezentului. Dar nici aici nu este corect să presupunem o singură narațiune fixă pentru patru decenii. Anii de sovietizare, destalinizarea, relativa liberalizare și național-comunismul ceaușist au produs accente diferite. Figuri istorice au fost reevaluate repetat. În loc să atribuim lui Tudor Vladimirescu o etichetă singulară de „proto-marxist”, este mai riguros să analizăm manualele, edițiile și discursurile fiecărei etape.</w:t>
      </w:r>
    </w:p>
    <w:p w14:paraId="3FF14E6D" w14:textId="77777777" w:rsidR="00947D72" w:rsidRPr="00BD1DA7" w:rsidRDefault="00000000">
      <w:pPr>
        <w:rPr>
          <w:lang w:val="ro-RO"/>
        </w:rPr>
      </w:pPr>
      <w:r>
        <w:rPr>
          <w:rFonts w:eastAsia="Carlito"/>
          <w:color w:val="20262B"/>
          <w:lang w:val="ro-RO"/>
        </w:rPr>
        <w:t>A doua lecție majoră a istoriei este că cenzura totalitară funcționează cel mai eficient atunci când nu se limitează la interdicții punctuale, ci modelează instituțiile care produc cunoaștere. Într-un asemenea sistem, autorul învață adesea să anticipeze cenzorul înainte ca acesta să intervină.</w:t>
      </w:r>
    </w:p>
    <w:p>
      <w:pPr>
        <w:pStyle w:val="Heading2"/>
        <w:spacing w:before="160" w:after="100"/>
        <w:rPr>
          <w:lang w:val="ro-RO"/>
        </w:rPr>
      </w:pPr>
      <w:r>
        <w:rPr>
          <w:rFonts w:ascii="Carlito" w:eastAsia="Carlito" w:hAnsi="Carlito"/>
          <w:color w:val="2C6975"/>
          <w:lang w:val="ro-RO"/>
        </w:rPr>
        <w:t>4.6 Critica administrată: cazul Reflector</w:t>
      </w:r>
    </w:p>
    <w:p>
      <w:pPr>
        <w:rPr>
          <w:lang w:val="ro-RO"/>
        </w:rPr>
      </w:pPr>
      <w:r>
        <w:rPr>
          <w:rFonts w:eastAsia="Carlito"/>
          <w:color w:val="20262B"/>
          <w:lang w:val="ro-RO"/>
        </w:rPr>
        <w:t xml:space="preserve">Tabloul cenzurii comuniste ar fi incomplet fără mecanismul ei complementar, mai subtil: critica administrată. Regimul nu doar interzicea critica — o și organiza, în doze controlate, ca supapă de presiune socială și ca instrument de disciplinare a verigilor intermediare. Cazul emblematic este emisiunea Reflector a Televiziunii Române: lansată la 27 ianuarie 1967, după modelul jurnalismului de investigație occidental, expunea public disfuncționalități ale instituțiilor, abuzuri ale conducătorilor de unități și neajunsuri ale serviciilor, ajungând — semn al aprecierii publicului — foileton cotidian timp de patru luni (noiembrie 1969 – februarie 1970) și, alături de Ancheta socială, o veritabilă „instituție socială” a epocii.</w:t>
      </w:r>
      <w:r>
        <w:rPr>
          <w:rFonts w:eastAsia="Carlito"/>
          <w:color w:val="2C6975"/>
          <w:sz w:val="16"/>
          <w:vertAlign w:val="superscript"/>
          <w:lang w:val="ro-RO"/>
        </w:rPr>
        <w:t xml:space="preserve"> [S29,S30]</w:t>
      </w:r>
    </w:p>
    <w:p>
      <w:pPr>
        <w:rPr>
          <w:lang w:val="ro-RO"/>
        </w:rPr>
      </w:pPr>
      <w:r>
        <w:rPr>
          <w:rFonts w:eastAsia="Carlito"/>
          <w:color w:val="20262B"/>
          <w:lang w:val="ro-RO"/>
        </w:rPr>
        <w:t xml:space="preserve">Limitele mecanismului îi definesc însă natura. Critica era permisă cât timp viza execuția — șantierul întârziat, gestionarul abuziv, veriga locală — și niciodată sistemul ori vârful lui; era instrumentalizată politic, convenabilă cât timp neajunsurile arătate puteau fi puse pe seama etapei anterioare și tot mai incomodă pe măsură ce priveau prezentul; și trăia sau murea odată cu etapa politică: înflorită în intervalul relativei liberalizări (1966–1971), a fost restrânsă treptat după Tezele din iulie 1971, și-a încetat existența în 1976 și a mai supraviețuit doar într-un avatar atenuat, la redacția economică, până în 1983.</w:t>
      </w:r>
      <w:r>
        <w:rPr>
          <w:rFonts w:eastAsia="Carlito"/>
          <w:color w:val="2C6975"/>
          <w:sz w:val="16"/>
          <w:vertAlign w:val="superscript"/>
          <w:lang w:val="ro-RO"/>
        </w:rPr>
        <w:t xml:space="preserve"> [S29,S31]</w:t>
      </w:r>
    </w:p>
    <w:p>
      <w:pPr>
        <w:rPr>
          <w:lang w:val="ro-RO"/>
        </w:rPr>
      </w:pPr>
      <w:r>
        <w:rPr>
          <w:rFonts w:eastAsia="Carlito"/>
          <w:color w:val="20262B"/>
          <w:lang w:val="ro-RO"/>
        </w:rPr>
        <w:t xml:space="preserve">Pentru taxonomia acestui document, critica administrată se așază între propagandă și cenzură: simulează autocorecția sistemului tocmai pentru a-l proteja, canalizând nemulțumirea socială către responsabili de rang inferior și întărind narațiunea că sistemul „se îndreaptă singur”. De aici un memento metodologic cu valabilitate generală: existența unui spațiu de critică publică nu este, în sine, proba libertății de exprimare — contează cine stabilește perimetrul criticii, ce rămâne în afara lui și cine poate închide oricând scena.</w:t>
      </w:r>
    </w:p>
    <w:p w14:paraId="275A7182" w14:textId="77777777" w:rsidR="00947D72" w:rsidRPr="00BD1DA7" w:rsidRDefault="00000000">
      <w:pPr>
        <w:pStyle w:val="Heading1"/>
        <w:spacing w:before="220" w:after="100"/>
        <w:rPr>
          <w:lang w:val="ro-RO"/>
        </w:rPr>
      </w:pPr>
      <w:r>
        <w:rPr>
          <w:rFonts w:ascii="Carlito" w:eastAsia="Carlito" w:hAnsi="Carlito"/>
          <w:color w:val="17324D"/>
          <w:sz w:val="34"/>
          <w:lang w:val="ro-RO"/>
        </w:rPr>
        <w:t>5. 1989-2007: libertate constituțională, pluralism și noi dependențe</w:t>
      </w:r>
    </w:p>
    <w:p w14:paraId="53C14DC2" w14:textId="77777777" w:rsidR="00947D72" w:rsidRPr="00BD1DA7" w:rsidRDefault="00000000">
      <w:pPr>
        <w:rPr>
          <w:lang w:val="ro-RO"/>
        </w:rPr>
      </w:pPr>
      <w:r>
        <w:rPr>
          <w:rFonts w:eastAsia="Carlito"/>
          <w:color w:val="20262B"/>
          <w:lang w:val="ro-RO"/>
        </w:rPr>
        <w:t>După decembrie 1989, cadrul juridic se schimbă fundamental. Articolul 30 din Constituție declară libertatea de exprimare inviolabilă și prevede explicit că „cenzura de orice fel este interzisă”; libertatea presei include libertatea de a înființa publicații, iar nicio publicație nu poate fi suprimată. Legea audiovizualului consacră la rândul ei interdicția cenzurii și independența editorială. Aceste garanții creează o ruptură juridică reală față de regimul precedent.</w:t>
      </w:r>
      <w:r>
        <w:rPr>
          <w:rFonts w:eastAsia="Carlito"/>
          <w:color w:val="2C6975"/>
          <w:sz w:val="16"/>
          <w:vertAlign w:val="superscript"/>
          <w:lang w:val="ro-RO"/>
        </w:rPr>
        <w:t xml:space="preserve"> [S1,S2]</w:t>
      </w:r>
    </w:p>
    <w:p w14:paraId="39D0FAE5" w14:textId="77777777" w:rsidR="00947D72" w:rsidRPr="00BD1DA7" w:rsidRDefault="00000000">
      <w:pPr>
        <w:rPr>
          <w:lang w:val="ro-RO"/>
        </w:rPr>
      </w:pPr>
      <w:r>
        <w:rPr>
          <w:rFonts w:eastAsia="Carlito"/>
          <w:color w:val="20262B"/>
          <w:lang w:val="ro-RO"/>
        </w:rPr>
        <w:t>Ruptura juridică nu elimină însă toate formele de control. Într-o economie de piață, puterea asupra informației poate trece prin proprietate, publicitate, contracte, relații cu partidele și acces la resurse. A numi automat aceste fenomene „cenzură” este prea mult; a le ignora pentru că nu există un cenzor de stat este prea puțin. Conceptul mai potrivit este independența editorială și riscul de captură.</w:t>
      </w:r>
    </w:p>
    <w:p w14:paraId="213600DB" w14:textId="77777777" w:rsidR="00947D72" w:rsidRPr="00BD1DA7" w:rsidRDefault="00000000">
      <w:pPr>
        <w:pStyle w:val="Heading2"/>
        <w:spacing w:before="160" w:after="100"/>
        <w:rPr>
          <w:lang w:val="ro-RO"/>
        </w:rPr>
      </w:pPr>
      <w:r>
        <w:rPr>
          <w:rFonts w:ascii="Carlito" w:eastAsia="Carlito" w:hAnsi="Carlito"/>
          <w:color w:val="2C6975"/>
          <w:lang w:val="ro-RO"/>
        </w:rPr>
        <w:t>5.1 „Paranteza comunistă” și politicile memoriei</w:t>
      </w:r>
    </w:p>
    <w:p w14:paraId="2FCB86FC" w14:textId="77777777" w:rsidR="00947D72" w:rsidRPr="00BD1DA7" w:rsidRDefault="00000000">
      <w:pPr>
        <w:rPr>
          <w:lang w:val="ro-RO"/>
        </w:rPr>
      </w:pPr>
      <w:r>
        <w:rPr>
          <w:rFonts w:eastAsia="Carlito"/>
          <w:color w:val="20262B"/>
          <w:lang w:val="ro-RO"/>
        </w:rPr>
        <w:t>După 1989, memoria comunismului, a monarhiei, a legionarismului și a regimului Antonescu a devenit teren de conflict public. Unele discursuri au accentuat ocupația sovietică și caracterul impus al regimului, altele au insistat asupra colaborării interne și a responsabilităților românești. Reabilitările simbolice, demitizările și disputele istoriografice sunt relevante pentru modul în care societatea își construiește trecutul, dar pluralitatea interpretărilor nu este, în sine, dovadă de cenzură.</w:t>
      </w:r>
    </w:p>
    <w:p w14:paraId="2E063895" w14:textId="77777777" w:rsidR="00947D72" w:rsidRPr="00BD1DA7" w:rsidRDefault="00000000">
      <w:pPr>
        <w:rPr>
          <w:lang w:val="ro-RO"/>
        </w:rPr>
      </w:pPr>
      <w:r>
        <w:rPr>
          <w:rFonts w:eastAsia="Carlito"/>
          <w:color w:val="20262B"/>
          <w:lang w:val="ro-RO"/>
        </w:rPr>
        <w:t>Lucian Boia și alți istorici au contestat mituri naționale și au generat polemici puternice. Faptul că o interpretare provoacă reacție publică sau respingere ideologică nu echivalează automat cu suprimarea ei. Criteriul rămâne accesul la publicare, presiunea instituțională, sancțiunea și libertatea de răspuns.</w:t>
      </w:r>
    </w:p>
    <w:p w14:paraId="3FB56719" w14:textId="77777777" w:rsidR="00947D72" w:rsidRPr="00BD1DA7" w:rsidRDefault="00000000">
      <w:pPr>
        <w:pStyle w:val="Heading2"/>
        <w:spacing w:before="160" w:after="100"/>
        <w:rPr>
          <w:lang w:val="ro-RO"/>
        </w:rPr>
      </w:pPr>
      <w:r>
        <w:rPr>
          <w:rFonts w:ascii="Carlito" w:eastAsia="Carlito" w:hAnsi="Carlito"/>
          <w:color w:val="2C6975"/>
          <w:lang w:val="ro-RO"/>
        </w:rPr>
        <w:t>5.2 De la monopolul statului la pluralismul imperfect</w:t>
      </w:r>
    </w:p>
    <w:p w14:paraId="2D41020D" w14:textId="77777777" w:rsidR="00947D72" w:rsidRPr="00BD1DA7" w:rsidRDefault="00000000">
      <w:pPr>
        <w:rPr>
          <w:lang w:val="ro-RO"/>
        </w:rPr>
      </w:pPr>
      <w:r>
        <w:rPr>
          <w:rFonts w:eastAsia="Carlito"/>
          <w:color w:val="20262B"/>
          <w:lang w:val="ro-RO"/>
        </w:rPr>
        <w:t xml:space="preserve">Anii 1990 și 2000 au adus o explozie a publicațiilor și televiziunilor private, dar și o piață volatilă, vulnerabilă la concentrarea proprietății și la dependența de finanțare. Acest mediu poate produce autocenzură sau aliniere editorială fără ordin explicit. Analitic, aceasta este una dintre cele mai </w:t>
        <w:lastRenderedPageBreak/>
        <w:t>importante diferențe față de comunism: controlul nu mai trebuie să fie unic pentru a fi eficient; poate rezulta din stimulente economice convergente.</w:t>
      </w:r>
    </w:p>
    <w:p w14:paraId="31F869A4" w14:textId="77777777" w:rsidR="00947D72" w:rsidRPr="00BD1DA7" w:rsidRDefault="00000000">
      <w:pPr>
        <w:pStyle w:val="Heading1"/>
        <w:spacing w:before="220" w:after="100"/>
        <w:rPr>
          <w:lang w:val="ro-RO"/>
        </w:rPr>
      </w:pPr>
      <w:r>
        <w:rPr>
          <w:rFonts w:ascii="Carlito" w:eastAsia="Carlito" w:hAnsi="Carlito"/>
          <w:color w:val="17324D"/>
          <w:sz w:val="34"/>
          <w:lang w:val="ro-RO"/>
        </w:rPr>
        <w:t>6. 2007-2024: integrare europeană, platforme și guvernanță digitală</w:t>
      </w:r>
    </w:p>
    <w:p w14:paraId="21F985E8" w14:textId="77777777" w:rsidR="00947D72" w:rsidRPr="00BD1DA7" w:rsidRDefault="00000000">
      <w:pPr>
        <w:rPr>
          <w:lang w:val="ro-RO"/>
        </w:rPr>
      </w:pPr>
      <w:r>
        <w:rPr>
          <w:rFonts w:eastAsia="Carlito"/>
          <w:color w:val="20262B"/>
          <w:lang w:val="ro-RO"/>
        </w:rPr>
        <w:t>Integrarea europeană nu a transferat pur și simplu „cenzura” de la București la Bruxelles. A adăugat un nivel supranațional de reguli privind piața, drepturile, protecția consumatorilor, serviciile media și platformele digitale. Efectul asupra libertății de exprimare trebuie analizat normă cu normă, nu dedus din faptul că reglementarea este europeană.</w:t>
      </w:r>
    </w:p>
    <w:p w14:paraId="7C92DA23" w14:textId="77777777" w:rsidR="00947D72" w:rsidRPr="00BD1DA7" w:rsidRDefault="00000000">
      <w:pPr>
        <w:pStyle w:val="Heading2"/>
        <w:spacing w:before="160" w:after="100"/>
        <w:rPr>
          <w:lang w:val="ro-RO"/>
        </w:rPr>
      </w:pPr>
      <w:r>
        <w:rPr>
          <w:rFonts w:ascii="Carlito" w:eastAsia="Carlito" w:hAnsi="Carlito"/>
          <w:color w:val="2C6975"/>
          <w:lang w:val="ro-RO"/>
        </w:rPr>
        <w:t>6.1 Digital Services Act: ce face și ce nu face</w:t>
      </w:r>
    </w:p>
    <w:p w14:paraId="28C76E26" w14:textId="77777777" w:rsidR="00947D72" w:rsidRPr="00BD1DA7" w:rsidRDefault="00000000">
      <w:pPr>
        <w:rPr>
          <w:lang w:val="ro-RO"/>
        </w:rPr>
      </w:pPr>
      <w:r>
        <w:rPr>
          <w:rFonts w:eastAsia="Carlito"/>
          <w:color w:val="20262B"/>
          <w:lang w:val="ro-RO"/>
        </w:rPr>
        <w:t>Regulamentul (UE) 2022/2065 - Digital Services Act - impune obligații furnizorilor de servicii intermediare și, pentru platformele foarte mari, obligații suplimentare de evaluare și diminuare a riscurilor sistemice. Regulamentul cere explicații pentru anumite decizii de moderare și oferă utilizatorilor mecanisme de contestare: plângeri interne, soluționare extrajudiciară și acces la instanțele naționale. Prin urmare, descrierea regulilor platformelor drept complet „irecuzabile” nu mai este corectă în UE.</w:t>
      </w:r>
      <w:r>
        <w:rPr>
          <w:rFonts w:eastAsia="Carlito"/>
          <w:color w:val="2C6975"/>
          <w:sz w:val="16"/>
          <w:vertAlign w:val="superscript"/>
          <w:lang w:val="ro-RO"/>
        </w:rPr>
        <w:t xml:space="preserve"> [S10,S18]</w:t>
      </w:r>
    </w:p>
    <w:p w14:paraId="05D95DFB" w14:textId="77777777" w:rsidR="00947D72" w:rsidRPr="00BD1DA7" w:rsidRDefault="00000000">
      <w:pPr>
        <w:rPr>
          <w:lang w:val="ro-RO"/>
        </w:rPr>
      </w:pPr>
      <w:r>
        <w:rPr>
          <w:rFonts w:eastAsia="Carlito"/>
          <w:color w:val="20262B"/>
          <w:lang w:val="ro-RO"/>
        </w:rPr>
        <w:t>În același timp, DSA nu elimină problema puterii private. Platformele păstrează termeni și condiții proprii, sisteme de recomandare și instrumente automate pe care publicul nu le poate audita integral. Mai mult, obligația de a gestiona „riscuri sistemice” poate încuraja decizii prudente până la exces atunci când definițiile, indicatorii sau presiunile de conformare sunt neclare. Riscul democratic este, deci, mai degrabă unul de guvernanță și proporționalitate decât dovada unei cenzuri centralizate.</w:t>
      </w:r>
    </w:p>
    <w:p w14:paraId="7EF7262B" w14:textId="77777777" w:rsidR="00947D72" w:rsidRPr="00BD1DA7" w:rsidRDefault="00000000">
      <w:pPr>
        <w:pStyle w:val="Heading2"/>
        <w:spacing w:before="160" w:after="100"/>
        <w:rPr>
          <w:lang w:val="ro-RO"/>
        </w:rPr>
      </w:pPr>
      <w:r>
        <w:rPr>
          <w:rFonts w:ascii="Carlito" w:eastAsia="Carlito" w:hAnsi="Carlito"/>
          <w:color w:val="2C6975"/>
          <w:lang w:val="ro-RO"/>
        </w:rPr>
        <w:t>6.2 „Shadowbanning”: termen util, afirmație care cere probă</w:t>
      </w:r>
    </w:p>
    <w:p w14:paraId="6A804477" w14:textId="77777777" w:rsidR="00947D72" w:rsidRPr="00BD1DA7" w:rsidRDefault="00000000">
      <w:pPr>
        <w:rPr>
          <w:lang w:val="ro-RO"/>
        </w:rPr>
      </w:pPr>
      <w:r>
        <w:rPr>
          <w:rFonts w:eastAsia="Carlito"/>
          <w:color w:val="20262B"/>
          <w:lang w:val="ro-RO"/>
        </w:rPr>
        <w:t>„Shadowbanning” este folosit public pentru situații în care conținutul rămâne tehnic online, dar distribuția sa este redusă fără o explicație suficientă. Fenomenul poate exista ca efect al rankingului sau al unor sancțiuni de platformă, însă acuzația că opiniile politice „incomode” sunt sistematic invizibilizate trebuie demonstrată pentru o platformă, perioadă și regulă concretă. Fără astfel de date, termenul descrie o suspiciune sau un mecanism posibil, nu un fapt general.</w:t>
      </w:r>
    </w:p>
    <w:p w14:paraId="55CF8B61" w14:textId="77777777" w:rsidR="00947D72" w:rsidRPr="00BD1DA7" w:rsidRDefault="00000000">
      <w:pPr>
        <w:pStyle w:val="Heading2"/>
        <w:spacing w:before="160" w:after="100"/>
        <w:rPr>
          <w:lang w:val="ro-RO"/>
        </w:rPr>
      </w:pPr>
      <w:r>
        <w:rPr>
          <w:rFonts w:ascii="Carlito" w:eastAsia="Carlito" w:hAnsi="Carlito"/>
          <w:color w:val="2C6975"/>
          <w:lang w:val="ro-RO"/>
        </w:rPr>
        <w:t>6.3 Economia atenției</w:t>
      </w:r>
    </w:p>
    <w:p w14:paraId="1622F5A3" w14:textId="77777777" w:rsidR="00947D72" w:rsidRPr="00BD1DA7" w:rsidRDefault="00000000">
      <w:pPr>
        <w:rPr>
          <w:lang w:val="ro-RO"/>
        </w:rPr>
      </w:pPr>
      <w:r>
        <w:rPr>
          <w:rFonts w:eastAsia="Carlito"/>
          <w:color w:val="20262B"/>
          <w:lang w:val="ro-RO"/>
        </w:rPr>
        <w:t>Noutatea structurală a mediului digital este separarea dintre dreptul de a publica și probabilitatea de a fi văzut. O persoană poate avea libertate formală de exprimare și, totuși, acces marginal la atenție. Algoritmii de recomandare nu „cenzurează” în mod necesar, dar ordonează fluxul informațional și, prin aceasta, distribuie o resursă politică esențială: vizibilitatea.</w:t>
      </w:r>
    </w:p>
    <w:p>
      <w:pPr>
        <w:pStyle w:val="Heading2"/>
        <w:spacing w:before="160" w:after="100"/>
        <w:rPr>
          <w:lang w:val="ro-RO"/>
        </w:rPr>
      </w:pPr>
      <w:r>
        <w:rPr>
          <w:rFonts w:ascii="Carlito" w:eastAsia="Carlito" w:hAnsi="Carlito"/>
          <w:color w:val="2C6975"/>
          <w:lang w:val="ro-RO"/>
        </w:rPr>
        <w:t>6.4 Intimidarea juridică: procesele-baraj (SLAPP)</w:t>
      </w:r>
    </w:p>
    <w:p>
      <w:pPr>
        <w:rPr>
          <w:lang w:val="ro-RO"/>
        </w:rPr>
      </w:pPr>
      <w:r>
        <w:rPr>
          <w:rFonts w:eastAsia="Carlito"/>
          <w:color w:val="20262B"/>
          <w:lang w:val="ro-RO"/>
        </w:rPr>
        <w:t xml:space="preserve">Un mecanism distinct, semnalat constant de rapoartele europene despre pluralismul media, este intimidarea juridică prin acțiuni în justiție împovărătoare — fenomenul cunoscut sub acronimul SLAPP (strategic lawsuit against public participation). Un asemenea proces nu urmărește neapărat câștigarea cauzei, ci epuizarea pârâtului: costuri de apărare, despăgubiri cerute disproporționat, durată procedurală și presiune psihologică. Ținta tipică este jurnalistul, publicația sau vocea critică ce documentează subiecte de interes public. Mecanismul nu interzice nimic în mod formal; face vorbirea prea scumpă.</w:t>
      </w:r>
      <w:r>
        <w:rPr>
          <w:rFonts w:eastAsia="Carlito"/>
          <w:color w:val="2C6975"/>
          <w:sz w:val="16"/>
          <w:vertAlign w:val="superscript"/>
          <w:lang w:val="ro-RO"/>
        </w:rPr>
        <w:t xml:space="preserve"> [S16,S27]</w:t>
      </w:r>
    </w:p>
    <w:p>
      <w:pPr>
        <w:rPr>
          <w:lang w:val="ro-RO"/>
        </w:rPr>
      </w:pPr>
      <w:r>
        <w:rPr>
          <w:rFonts w:eastAsia="Carlito"/>
          <w:color w:val="20262B"/>
          <w:lang w:val="ro-RO"/>
        </w:rPr>
        <w:t xml:space="preserve">Uniunea Europeană a recunoscut fenomenul prin Directiva (UE) 2024/1069 privind protecția împotriva cererilor vădit nefondate sau abuzive („directiva anti-SLAPP”), adoptată în aprilie 2024, cu termen de transpunere 7 mai 2026 — termen pe care majoritatea statelor membre nu îl respectaseră la data acestei ediții. Directiva acoperă însă doar cauzele civile transfrontaliere, în timp ce majoritatea proceselor-baraj sunt interne; eficacitatea protecției depinde, prin urmare, de modul în care transpunerea națională extinde garanțiile. Pentru taxonomia acestui document, SLAPP este veriga dintre controlul economic și sancțiunea reputațională: folosește instituții legitime — instanțele — pentru a produce efectul autocenzurii.</w:t>
      </w:r>
      <w:r>
        <w:rPr>
          <w:rFonts w:eastAsia="Carlito"/>
          <w:color w:val="2C6975"/>
          <w:sz w:val="16"/>
          <w:vertAlign w:val="superscript"/>
          <w:lang w:val="ro-RO"/>
        </w:rPr>
        <w:t xml:space="preserve"> [S27]</w:t>
      </w:r>
    </w:p>
    <w:p w14:paraId="5636292F" w14:textId="77777777" w:rsidR="00947D72" w:rsidRPr="00BD1DA7" w:rsidRDefault="00000000">
      <w:pPr>
        <w:pStyle w:val="Heading1"/>
        <w:spacing w:before="220" w:after="100"/>
        <w:rPr>
          <w:lang w:val="ro-RO"/>
        </w:rPr>
      </w:pPr>
      <w:r>
        <w:rPr>
          <w:rFonts w:ascii="Carlito" w:eastAsia="Carlito" w:hAnsi="Carlito"/>
          <w:color w:val="17324D"/>
          <w:sz w:val="34"/>
          <w:lang w:val="ro-RO"/>
        </w:rPr>
        <w:t>7. Criza electorală din 2024: fapte, drept și controverse</w:t>
      </w:r>
    </w:p>
    <w:p w14:paraId="76D6C809" w14:textId="77777777" w:rsidR="00947D72" w:rsidRPr="00BD1DA7" w:rsidRDefault="00000000">
      <w:pPr>
        <w:rPr>
          <w:lang w:val="ro-RO"/>
        </w:rPr>
      </w:pPr>
      <w:r>
        <w:rPr>
          <w:rFonts w:eastAsia="Carlito"/>
          <w:color w:val="20262B"/>
          <w:lang w:val="ro-RO"/>
        </w:rPr>
        <w:t>Anularea procesului prezidențial din 2024 trebuie analizată cu o disciplină mai strictă decât orice altă parte a documentului. Miza este prea mare pentru formule globale. Sunt necesare cel puțin trei planuri separate: ce a decis formal CCR; ce conțineau evaluările instituțiilor de securitate; și ce a fost ulterior demonstrat, contestat sau rămas neclar în spațiul judiciar și public.</w:t>
      </w:r>
    </w:p>
    <w:p w14:paraId="28C50AEA" w14:textId="77777777" w:rsidR="00947D72" w:rsidRPr="00BD1DA7" w:rsidRDefault="00000000">
      <w:pPr>
        <w:pStyle w:val="Heading2"/>
        <w:spacing w:before="160" w:after="100"/>
        <w:rPr>
          <w:lang w:val="ro-RO"/>
        </w:rPr>
      </w:pPr>
      <w:r>
        <w:rPr>
          <w:rFonts w:ascii="Carlito" w:eastAsia="Carlito" w:hAnsi="Carlito"/>
          <w:color w:val="2C6975"/>
          <w:lang w:val="ro-RO"/>
        </w:rPr>
        <w:lastRenderedPageBreak/>
        <w:t>7.1 Cronologia minimă</w:t>
      </w:r>
    </w:p>
    <w:tbl>
      <w:tblPr>
        <w:tblW w:w="0" w:type="auto"/>
        <w:jc w:val="center"/>
        <w:tblBorders>
          <w:top w:val="single" w:sz="6" w:space="0" w:color="CBD5DB"/>
          <w:left w:val="single" w:sz="6" w:space="0" w:color="CBD5DB"/>
          <w:bottom w:val="single" w:sz="6" w:space="0" w:color="CBD5DB"/>
          <w:right w:val="single" w:sz="6" w:space="0" w:color="CBD5DB"/>
          <w:insideH w:val="single" w:sz="6" w:space="0" w:color="CBD5DB"/>
          <w:insideV w:val="single" w:sz="6" w:space="0" w:color="CBD5DB"/>
        </w:tblBorders>
        <w:tblLayout w:type="fixed"/>
        <w:tblLook w:val="04A0" w:firstRow="1" w:lastRow="0" w:firstColumn="1" w:lastColumn="0" w:noHBand="0" w:noVBand="1"/>
      </w:tblPr>
      <w:tblGrid>
        <w:gridCol w:w="1584"/>
        <w:gridCol w:w="4608"/>
        <w:gridCol w:w="3888"/>
      </w:tblGrid>
      <w:tr w:rsidR="00947D72" w:rsidRPr="00BD1DA7" w14:paraId="36D8822E" w14:textId="77777777">
        <w:trPr>
          <w:cantSplit/>
          <w:tblHeader/>
          <w:jc w:val="center"/>
        </w:trPr>
        <w:tc>
          <w:tcPr>
            <w:tcW w:w="1584" w:type="dxa"/>
            <w:shd w:val="clear" w:color="auto" w:fill="D9E2F3"/>
            <w:tcMar>
              <w:top w:w="90" w:type="dxa"/>
              <w:left w:w="110" w:type="dxa"/>
              <w:bottom w:w="90" w:type="dxa"/>
              <w:right w:w="110" w:type="dxa"/>
            </w:tcMar>
            <w:vAlign w:val="center"/>
          </w:tcPr>
          <w:p w14:paraId="2A408069" w14:textId="77777777" w:rsidR="00947D72" w:rsidRPr="00BD1DA7" w:rsidRDefault="00000000">
            <w:pPr>
              <w:spacing w:after="0"/>
              <w:jc w:val="center"/>
              <w:rPr>
                <w:lang w:val="ro-RO"/>
              </w:rPr>
            </w:pPr>
            <w:r>
              <w:rPr>
                <w:rFonts w:eastAsia="Carlito"/>
                <w:b/>
                <w:color w:val="FFFFFF"/>
                <w:sz w:val="19"/>
                <w:lang w:val="ro-RO"/>
              </w:rPr>
              <w:t>Data</w:t>
            </w:r>
          </w:p>
        </w:tc>
        <w:tc>
          <w:tcPr>
            <w:tcW w:w="4608" w:type="dxa"/>
            <w:shd w:val="clear" w:color="auto" w:fill="D9E2F3"/>
            <w:tcMar>
              <w:top w:w="90" w:type="dxa"/>
              <w:left w:w="110" w:type="dxa"/>
              <w:bottom w:w="90" w:type="dxa"/>
              <w:right w:w="110" w:type="dxa"/>
            </w:tcMar>
            <w:vAlign w:val="center"/>
          </w:tcPr>
          <w:p w14:paraId="078B07FA" w14:textId="77777777" w:rsidR="00947D72" w:rsidRPr="00BD1DA7" w:rsidRDefault="00000000">
            <w:pPr>
              <w:spacing w:after="0"/>
              <w:jc w:val="center"/>
              <w:rPr>
                <w:lang w:val="ro-RO"/>
              </w:rPr>
            </w:pPr>
            <w:r>
              <w:rPr>
                <w:rFonts w:eastAsia="Carlito"/>
                <w:b/>
                <w:color w:val="FFFFFF"/>
                <w:sz w:val="19"/>
                <w:lang w:val="ro-RO"/>
              </w:rPr>
              <w:t>Eveniment</w:t>
            </w:r>
          </w:p>
        </w:tc>
        <w:tc>
          <w:tcPr>
            <w:tcW w:w="3888" w:type="dxa"/>
            <w:shd w:val="clear" w:color="auto" w:fill="D9E2F3"/>
            <w:tcMar>
              <w:top w:w="90" w:type="dxa"/>
              <w:left w:w="110" w:type="dxa"/>
              <w:bottom w:w="90" w:type="dxa"/>
              <w:right w:w="110" w:type="dxa"/>
            </w:tcMar>
            <w:vAlign w:val="center"/>
          </w:tcPr>
          <w:p w14:paraId="7BBDAE66" w14:textId="77777777" w:rsidR="00947D72" w:rsidRPr="00BD1DA7" w:rsidRDefault="00000000">
            <w:pPr>
              <w:spacing w:after="0"/>
              <w:jc w:val="center"/>
              <w:rPr>
                <w:lang w:val="ro-RO"/>
              </w:rPr>
            </w:pPr>
            <w:r>
              <w:rPr>
                <w:rFonts w:eastAsia="Carlito"/>
                <w:b/>
                <w:color w:val="FFFFFF"/>
                <w:sz w:val="19"/>
                <w:lang w:val="ro-RO"/>
              </w:rPr>
              <w:t>Semnificație</w:t>
            </w:r>
          </w:p>
        </w:tc>
      </w:tr>
      <w:tr w:rsidR="00947D72" w:rsidRPr="00BD1DA7" w14:paraId="44A13161" w14:textId="77777777">
        <w:trPr>
          <w:cantSplit/>
          <w:jc w:val="center"/>
        </w:trPr>
        <w:tc>
          <w:tcPr>
            <w:tcW w:w="1584" w:type="dxa"/>
            <w:tcMar>
              <w:top w:w="90" w:type="dxa"/>
              <w:left w:w="110" w:type="dxa"/>
              <w:bottom w:w="90" w:type="dxa"/>
              <w:right w:w="110" w:type="dxa"/>
            </w:tcMar>
            <w:vAlign w:val="center"/>
          </w:tcPr>
          <w:p w14:paraId="2B06F3C2" w14:textId="77777777" w:rsidR="00947D72" w:rsidRPr="00BD1DA7" w:rsidRDefault="00000000">
            <w:pPr>
              <w:spacing w:after="0" w:line="240" w:lineRule="auto"/>
              <w:rPr>
                <w:lang w:val="ro-RO"/>
              </w:rPr>
            </w:pPr>
            <w:r>
              <w:rPr>
                <w:rFonts w:eastAsia="Carlito"/>
                <w:color w:val="20262B"/>
                <w:sz w:val="19"/>
                <w:lang w:val="ro-RO"/>
              </w:rPr>
              <w:t>24 nov. 2024</w:t>
            </w:r>
          </w:p>
        </w:tc>
        <w:tc>
          <w:tcPr>
            <w:tcW w:w="4608" w:type="dxa"/>
            <w:tcMar>
              <w:top w:w="90" w:type="dxa"/>
              <w:left w:w="110" w:type="dxa"/>
              <w:bottom w:w="90" w:type="dxa"/>
              <w:right w:w="110" w:type="dxa"/>
            </w:tcMar>
            <w:vAlign w:val="center"/>
          </w:tcPr>
          <w:p w14:paraId="44C2132C" w14:textId="77777777" w:rsidR="00947D72" w:rsidRPr="00BD1DA7" w:rsidRDefault="00000000">
            <w:pPr>
              <w:spacing w:after="0" w:line="240" w:lineRule="auto"/>
              <w:rPr>
                <w:lang w:val="ro-RO"/>
              </w:rPr>
            </w:pPr>
            <w:r>
              <w:rPr>
                <w:rFonts w:eastAsia="Carlito"/>
                <w:color w:val="20262B"/>
                <w:sz w:val="19"/>
                <w:lang w:val="ro-RO"/>
              </w:rPr>
              <w:t>Primul tur al alegerilor prezidențiale.</w:t>
            </w:r>
          </w:p>
        </w:tc>
        <w:tc>
          <w:tcPr>
            <w:tcW w:w="3888" w:type="dxa"/>
            <w:tcMar>
              <w:top w:w="90" w:type="dxa"/>
              <w:left w:w="110" w:type="dxa"/>
              <w:bottom w:w="90" w:type="dxa"/>
              <w:right w:w="110" w:type="dxa"/>
            </w:tcMar>
            <w:vAlign w:val="center"/>
          </w:tcPr>
          <w:p w14:paraId="64665394" w14:textId="77777777" w:rsidR="00947D72" w:rsidRPr="00BD1DA7" w:rsidRDefault="00000000">
            <w:pPr>
              <w:spacing w:after="0" w:line="240" w:lineRule="auto"/>
              <w:rPr>
                <w:lang w:val="ro-RO"/>
              </w:rPr>
            </w:pPr>
            <w:r>
              <w:rPr>
                <w:rFonts w:eastAsia="Carlito"/>
                <w:color w:val="20262B"/>
                <w:sz w:val="19"/>
                <w:lang w:val="ro-RO"/>
              </w:rPr>
              <w:t>Călin Georgescu și Elena Lasconi se califică pentru turul al doilea.</w:t>
            </w:r>
          </w:p>
        </w:tc>
      </w:tr>
      <w:tr w:rsidR="00947D72" w:rsidRPr="00BD1DA7" w14:paraId="1FD098B6" w14:textId="77777777">
        <w:trPr>
          <w:cantSplit/>
          <w:jc w:val="center"/>
        </w:trPr>
        <w:tc>
          <w:tcPr>
            <w:tcW w:w="1584" w:type="dxa"/>
            <w:shd w:val="clear" w:color="auto" w:fill="F5F7F8"/>
            <w:tcMar>
              <w:top w:w="90" w:type="dxa"/>
              <w:left w:w="110" w:type="dxa"/>
              <w:bottom w:w="90" w:type="dxa"/>
              <w:right w:w="110" w:type="dxa"/>
            </w:tcMar>
            <w:vAlign w:val="center"/>
          </w:tcPr>
          <w:p w14:paraId="76F01D31" w14:textId="77777777" w:rsidR="00947D72" w:rsidRPr="00BD1DA7" w:rsidRDefault="00000000">
            <w:pPr>
              <w:spacing w:after="0" w:line="240" w:lineRule="auto"/>
              <w:rPr>
                <w:lang w:val="ro-RO"/>
              </w:rPr>
            </w:pPr>
            <w:r>
              <w:rPr>
                <w:rFonts w:eastAsia="Carlito"/>
                <w:color w:val="20262B"/>
                <w:sz w:val="19"/>
                <w:lang w:val="ro-RO"/>
              </w:rPr>
              <w:t>28 nov. 2024</w:t>
            </w:r>
          </w:p>
        </w:tc>
        <w:tc>
          <w:tcPr>
            <w:tcW w:w="4608" w:type="dxa"/>
            <w:shd w:val="clear" w:color="auto" w:fill="F5F7F8"/>
            <w:tcMar>
              <w:top w:w="90" w:type="dxa"/>
              <w:left w:w="110" w:type="dxa"/>
              <w:bottom w:w="90" w:type="dxa"/>
              <w:right w:w="110" w:type="dxa"/>
            </w:tcMar>
            <w:vAlign w:val="center"/>
          </w:tcPr>
          <w:p w14:paraId="749CE186" w14:textId="77777777" w:rsidR="00947D72" w:rsidRPr="00BD1DA7" w:rsidRDefault="00000000">
            <w:pPr>
              <w:spacing w:after="0" w:line="240" w:lineRule="auto"/>
              <w:rPr>
                <w:lang w:val="ro-RO"/>
              </w:rPr>
            </w:pPr>
            <w:r>
              <w:rPr>
                <w:rFonts w:eastAsia="Carlito"/>
                <w:color w:val="20262B"/>
                <w:sz w:val="19"/>
                <w:lang w:val="ro-RO"/>
              </w:rPr>
              <w:t>CCR dispune reverificarea și renumărarea voturilor.</w:t>
            </w:r>
          </w:p>
        </w:tc>
        <w:tc>
          <w:tcPr>
            <w:tcW w:w="3888" w:type="dxa"/>
            <w:shd w:val="clear" w:color="auto" w:fill="F5F7F8"/>
            <w:tcMar>
              <w:top w:w="90" w:type="dxa"/>
              <w:left w:w="110" w:type="dxa"/>
              <w:bottom w:w="90" w:type="dxa"/>
              <w:right w:w="110" w:type="dxa"/>
            </w:tcMar>
            <w:vAlign w:val="center"/>
          </w:tcPr>
          <w:p w14:paraId="4184D448" w14:textId="77777777" w:rsidR="00947D72" w:rsidRPr="00BD1DA7" w:rsidRDefault="00000000">
            <w:pPr>
              <w:spacing w:after="0" w:line="240" w:lineRule="auto"/>
              <w:rPr>
                <w:lang w:val="ro-RO"/>
              </w:rPr>
            </w:pPr>
            <w:r>
              <w:rPr>
                <w:rFonts w:eastAsia="Carlito"/>
                <w:color w:val="20262B"/>
                <w:sz w:val="19"/>
                <w:lang w:val="ro-RO"/>
              </w:rPr>
              <w:t>Control jurisdicțional înainte de validare.</w:t>
            </w:r>
          </w:p>
        </w:tc>
      </w:tr>
      <w:tr w:rsidR="00947D72" w:rsidRPr="00BD1DA7" w14:paraId="2C796F9C" w14:textId="77777777">
        <w:trPr>
          <w:cantSplit/>
          <w:jc w:val="center"/>
        </w:trPr>
        <w:tc>
          <w:tcPr>
            <w:tcW w:w="1584" w:type="dxa"/>
            <w:tcMar>
              <w:top w:w="90" w:type="dxa"/>
              <w:left w:w="110" w:type="dxa"/>
              <w:bottom w:w="90" w:type="dxa"/>
              <w:right w:w="110" w:type="dxa"/>
            </w:tcMar>
            <w:vAlign w:val="center"/>
          </w:tcPr>
          <w:p w14:paraId="207F4DB1" w14:textId="77777777" w:rsidR="00947D72" w:rsidRPr="00BD1DA7" w:rsidRDefault="00000000">
            <w:pPr>
              <w:spacing w:after="0" w:line="240" w:lineRule="auto"/>
              <w:rPr>
                <w:lang w:val="ro-RO"/>
              </w:rPr>
            </w:pPr>
            <w:r>
              <w:rPr>
                <w:rFonts w:eastAsia="Carlito"/>
                <w:color w:val="20262B"/>
                <w:sz w:val="19"/>
                <w:lang w:val="ro-RO"/>
              </w:rPr>
              <w:t>2 dec. 2024</w:t>
            </w:r>
          </w:p>
        </w:tc>
        <w:tc>
          <w:tcPr>
            <w:tcW w:w="4608" w:type="dxa"/>
            <w:tcMar>
              <w:top w:w="90" w:type="dxa"/>
              <w:left w:w="110" w:type="dxa"/>
              <w:bottom w:w="90" w:type="dxa"/>
              <w:right w:w="110" w:type="dxa"/>
            </w:tcMar>
            <w:vAlign w:val="center"/>
          </w:tcPr>
          <w:p w14:paraId="4ED45565" w14:textId="77777777" w:rsidR="00947D72" w:rsidRPr="00BD1DA7" w:rsidRDefault="00000000">
            <w:pPr>
              <w:spacing w:after="0" w:line="240" w:lineRule="auto"/>
              <w:rPr>
                <w:lang w:val="ro-RO"/>
              </w:rPr>
            </w:pPr>
            <w:r>
              <w:rPr>
                <w:rFonts w:eastAsia="Carlito"/>
                <w:color w:val="20262B"/>
                <w:sz w:val="19"/>
                <w:lang w:val="ro-RO"/>
              </w:rPr>
              <w:t>CCR, Hotărârea nr. 31, confirmă și validează rezultatul primului tur.</w:t>
            </w:r>
          </w:p>
        </w:tc>
        <w:tc>
          <w:tcPr>
            <w:tcW w:w="3888" w:type="dxa"/>
            <w:tcMar>
              <w:top w:w="90" w:type="dxa"/>
              <w:left w:w="110" w:type="dxa"/>
              <w:bottom w:w="90" w:type="dxa"/>
              <w:right w:w="110" w:type="dxa"/>
            </w:tcMar>
            <w:vAlign w:val="center"/>
          </w:tcPr>
          <w:p w14:paraId="42DCD237" w14:textId="77777777" w:rsidR="00947D72" w:rsidRPr="00BD1DA7" w:rsidRDefault="00000000">
            <w:pPr>
              <w:spacing w:after="0" w:line="240" w:lineRule="auto"/>
              <w:rPr>
                <w:lang w:val="ro-RO"/>
              </w:rPr>
            </w:pPr>
            <w:r>
              <w:rPr>
                <w:rFonts w:eastAsia="Carlito"/>
                <w:color w:val="20262B"/>
                <w:sz w:val="19"/>
                <w:lang w:val="ro-RO"/>
              </w:rPr>
              <w:t>Procesul merge spre turul al doilea.</w:t>
            </w:r>
          </w:p>
        </w:tc>
      </w:tr>
      <w:tr w:rsidR="00947D72" w:rsidRPr="00BD1DA7" w14:paraId="5CA37509" w14:textId="77777777">
        <w:trPr>
          <w:cantSplit/>
          <w:jc w:val="center"/>
        </w:trPr>
        <w:tc>
          <w:tcPr>
            <w:tcW w:w="1584" w:type="dxa"/>
            <w:shd w:val="clear" w:color="auto" w:fill="F5F7F8"/>
            <w:tcMar>
              <w:top w:w="90" w:type="dxa"/>
              <w:left w:w="110" w:type="dxa"/>
              <w:bottom w:w="90" w:type="dxa"/>
              <w:right w:w="110" w:type="dxa"/>
            </w:tcMar>
            <w:vAlign w:val="center"/>
          </w:tcPr>
          <w:p w14:paraId="49BB6F2A" w14:textId="77777777" w:rsidR="00947D72" w:rsidRPr="00BD1DA7" w:rsidRDefault="00000000">
            <w:pPr>
              <w:spacing w:after="0" w:line="240" w:lineRule="auto"/>
              <w:rPr>
                <w:lang w:val="ro-RO"/>
              </w:rPr>
            </w:pPr>
            <w:r>
              <w:rPr>
                <w:rFonts w:eastAsia="Carlito"/>
                <w:color w:val="20262B"/>
                <w:sz w:val="19"/>
                <w:lang w:val="ro-RO"/>
              </w:rPr>
              <w:t>4 dec. 2024</w:t>
            </w:r>
          </w:p>
        </w:tc>
        <w:tc>
          <w:tcPr>
            <w:tcW w:w="4608" w:type="dxa"/>
            <w:shd w:val="clear" w:color="auto" w:fill="F5F7F8"/>
            <w:tcMar>
              <w:top w:w="90" w:type="dxa"/>
              <w:left w:w="110" w:type="dxa"/>
              <w:bottom w:w="90" w:type="dxa"/>
              <w:right w:w="110" w:type="dxa"/>
            </w:tcMar>
            <w:vAlign w:val="center"/>
          </w:tcPr>
          <w:p w14:paraId="36A480A4" w14:textId="77777777" w:rsidR="00947D72" w:rsidRPr="00BD1DA7" w:rsidRDefault="00000000">
            <w:pPr>
              <w:spacing w:after="0" w:line="240" w:lineRule="auto"/>
              <w:rPr>
                <w:lang w:val="ro-RO"/>
              </w:rPr>
            </w:pPr>
            <w:r>
              <w:rPr>
                <w:rFonts w:eastAsia="Carlito"/>
                <w:color w:val="20262B"/>
                <w:sz w:val="19"/>
                <w:lang w:val="ro-RO"/>
              </w:rPr>
              <w:t>Sunt declasificate și făcute publice note ale instituțiilor de securitate.</w:t>
            </w:r>
          </w:p>
        </w:tc>
        <w:tc>
          <w:tcPr>
            <w:tcW w:w="3888" w:type="dxa"/>
            <w:shd w:val="clear" w:color="auto" w:fill="F5F7F8"/>
            <w:tcMar>
              <w:top w:w="90" w:type="dxa"/>
              <w:left w:w="110" w:type="dxa"/>
              <w:bottom w:w="90" w:type="dxa"/>
              <w:right w:w="110" w:type="dxa"/>
            </w:tcMar>
            <w:vAlign w:val="center"/>
          </w:tcPr>
          <w:p w14:paraId="5FE7DA02" w14:textId="77777777" w:rsidR="00947D72" w:rsidRPr="00BD1DA7" w:rsidRDefault="00000000">
            <w:pPr>
              <w:spacing w:after="0" w:line="240" w:lineRule="auto"/>
              <w:rPr>
                <w:lang w:val="ro-RO"/>
              </w:rPr>
            </w:pPr>
            <w:r>
              <w:rPr>
                <w:rFonts w:eastAsia="Carlito"/>
                <w:color w:val="20262B"/>
                <w:sz w:val="19"/>
                <w:lang w:val="ro-RO"/>
              </w:rPr>
              <w:t>Apare un nou material factual/informațional.</w:t>
            </w:r>
          </w:p>
        </w:tc>
      </w:tr>
      <w:tr w:rsidR="00947D72" w:rsidRPr="00BD1DA7" w14:paraId="43B1A44C" w14:textId="77777777">
        <w:trPr>
          <w:cantSplit/>
          <w:jc w:val="center"/>
        </w:trPr>
        <w:tc>
          <w:tcPr>
            <w:tcW w:w="1584" w:type="dxa"/>
            <w:tcMar>
              <w:top w:w="90" w:type="dxa"/>
              <w:left w:w="110" w:type="dxa"/>
              <w:bottom w:w="90" w:type="dxa"/>
              <w:right w:w="110" w:type="dxa"/>
            </w:tcMar>
            <w:vAlign w:val="center"/>
          </w:tcPr>
          <w:p w14:paraId="05CDD335" w14:textId="77777777" w:rsidR="00947D72" w:rsidRPr="00BD1DA7" w:rsidRDefault="00000000">
            <w:pPr>
              <w:spacing w:after="0" w:line="240" w:lineRule="auto"/>
              <w:rPr>
                <w:lang w:val="ro-RO"/>
              </w:rPr>
            </w:pPr>
            <w:r>
              <w:rPr>
                <w:rFonts w:eastAsia="Carlito"/>
                <w:color w:val="20262B"/>
                <w:sz w:val="19"/>
                <w:lang w:val="ro-RO"/>
              </w:rPr>
              <w:t>6 dec. 2024</w:t>
            </w:r>
          </w:p>
        </w:tc>
        <w:tc>
          <w:tcPr>
            <w:tcW w:w="4608" w:type="dxa"/>
            <w:tcMar>
              <w:top w:w="90" w:type="dxa"/>
              <w:left w:w="110" w:type="dxa"/>
              <w:bottom w:w="90" w:type="dxa"/>
              <w:right w:w="110" w:type="dxa"/>
            </w:tcMar>
            <w:vAlign w:val="center"/>
          </w:tcPr>
          <w:p w14:paraId="442C522C" w14:textId="77777777" w:rsidR="00947D72" w:rsidRPr="00BD1DA7" w:rsidRDefault="00000000">
            <w:pPr>
              <w:spacing w:after="0" w:line="240" w:lineRule="auto"/>
              <w:rPr>
                <w:lang w:val="ro-RO"/>
              </w:rPr>
            </w:pPr>
            <w:r>
              <w:rPr>
                <w:rFonts w:eastAsia="Carlito"/>
                <w:color w:val="20262B"/>
                <w:sz w:val="19"/>
                <w:lang w:val="ro-RO"/>
              </w:rPr>
              <w:t>CCR, Hotărârea nr. 32, anulează întregul proces electoral.</w:t>
            </w:r>
          </w:p>
        </w:tc>
        <w:tc>
          <w:tcPr>
            <w:tcW w:w="3888" w:type="dxa"/>
            <w:tcMar>
              <w:top w:w="90" w:type="dxa"/>
              <w:left w:w="110" w:type="dxa"/>
              <w:bottom w:w="90" w:type="dxa"/>
              <w:right w:w="110" w:type="dxa"/>
            </w:tcMar>
            <w:vAlign w:val="center"/>
          </w:tcPr>
          <w:p w14:paraId="73594B7B" w14:textId="77777777" w:rsidR="00947D72" w:rsidRPr="00BD1DA7" w:rsidRDefault="00000000">
            <w:pPr>
              <w:spacing w:after="0" w:line="240" w:lineRule="auto"/>
              <w:rPr>
                <w:lang w:val="ro-RO"/>
              </w:rPr>
            </w:pPr>
            <w:r>
              <w:rPr>
                <w:rFonts w:eastAsia="Carlito"/>
                <w:color w:val="20262B"/>
                <w:sz w:val="19"/>
                <w:lang w:val="ro-RO"/>
              </w:rPr>
              <w:t>Sunt lipsite de efecte operațiunile anterioare, inclusiv voturi deja exprimate pentru turul al doilea.</w:t>
            </w:r>
          </w:p>
        </w:tc>
      </w:tr>
      <w:tr w:rsidR="00947D72" w:rsidRPr="00BD1DA7" w14:paraId="0A1A3AFF" w14:textId="77777777">
        <w:trPr>
          <w:cantSplit/>
          <w:jc w:val="center"/>
        </w:trPr>
        <w:tc>
          <w:tcPr>
            <w:tcW w:w="1584" w:type="dxa"/>
            <w:shd w:val="clear" w:color="auto" w:fill="F5F7F8"/>
            <w:tcMar>
              <w:top w:w="90" w:type="dxa"/>
              <w:left w:w="110" w:type="dxa"/>
              <w:bottom w:w="90" w:type="dxa"/>
              <w:right w:w="110" w:type="dxa"/>
            </w:tcMar>
            <w:vAlign w:val="center"/>
          </w:tcPr>
          <w:p w14:paraId="10F8BFC5" w14:textId="77777777" w:rsidR="00947D72" w:rsidRPr="00BD1DA7" w:rsidRDefault="00000000">
            <w:pPr>
              <w:spacing w:after="0" w:line="240" w:lineRule="auto"/>
              <w:rPr>
                <w:lang w:val="ro-RO"/>
              </w:rPr>
            </w:pPr>
            <w:r>
              <w:rPr>
                <w:rFonts w:eastAsia="Carlito"/>
                <w:color w:val="20262B"/>
                <w:sz w:val="19"/>
                <w:lang w:val="ro-RO"/>
              </w:rPr>
              <w:t>17 dec. 2024</w:t>
            </w:r>
          </w:p>
        </w:tc>
        <w:tc>
          <w:tcPr>
            <w:tcW w:w="4608" w:type="dxa"/>
            <w:shd w:val="clear" w:color="auto" w:fill="F5F7F8"/>
            <w:tcMar>
              <w:top w:w="90" w:type="dxa"/>
              <w:left w:w="110" w:type="dxa"/>
              <w:bottom w:w="90" w:type="dxa"/>
              <w:right w:w="110" w:type="dxa"/>
            </w:tcMar>
            <w:vAlign w:val="center"/>
          </w:tcPr>
          <w:p w14:paraId="31E198F9" w14:textId="77777777" w:rsidR="00947D72" w:rsidRPr="00BD1DA7" w:rsidRDefault="00000000">
            <w:pPr>
              <w:spacing w:after="0" w:line="240" w:lineRule="auto"/>
              <w:rPr>
                <w:lang w:val="ro-RO"/>
              </w:rPr>
            </w:pPr>
            <w:r>
              <w:rPr>
                <w:rFonts w:eastAsia="Carlito"/>
                <w:color w:val="20262B"/>
                <w:sz w:val="19"/>
                <w:lang w:val="ro-RO"/>
              </w:rPr>
              <w:t>Comisia Europeană deschide proceduri formale împotriva TikTok în baza DSA.</w:t>
            </w:r>
          </w:p>
        </w:tc>
        <w:tc>
          <w:tcPr>
            <w:tcW w:w="3888" w:type="dxa"/>
            <w:shd w:val="clear" w:color="auto" w:fill="F5F7F8"/>
            <w:tcMar>
              <w:top w:w="90" w:type="dxa"/>
              <w:left w:w="110" w:type="dxa"/>
              <w:bottom w:w="90" w:type="dxa"/>
              <w:right w:w="110" w:type="dxa"/>
            </w:tcMar>
            <w:vAlign w:val="center"/>
          </w:tcPr>
          <w:p w14:paraId="36B648F9" w14:textId="77777777" w:rsidR="00947D72" w:rsidRPr="00BD1DA7" w:rsidRDefault="00000000">
            <w:pPr>
              <w:spacing w:after="0" w:line="240" w:lineRule="auto"/>
              <w:rPr>
                <w:lang w:val="ro-RO"/>
              </w:rPr>
            </w:pPr>
            <w:r>
              <w:rPr>
                <w:rFonts w:eastAsia="Carlito"/>
                <w:color w:val="20262B"/>
                <w:sz w:val="19"/>
                <w:lang w:val="ro-RO"/>
              </w:rPr>
              <w:t>Investigarea obligațiilor platformei privind riscurile electorale.</w:t>
            </w:r>
          </w:p>
        </w:tc>
      </w:tr>
      <w:tr w:rsidR="00947D72" w:rsidRPr="00BD1DA7" w14:paraId="79086EFC" w14:textId="77777777">
        <w:trPr>
          <w:cantSplit/>
          <w:jc w:val="center"/>
        </w:trPr>
        <w:tc>
          <w:tcPr>
            <w:tcW w:w="1584" w:type="dxa"/>
            <w:tcMar>
              <w:top w:w="90" w:type="dxa"/>
              <w:left w:w="110" w:type="dxa"/>
              <w:bottom w:w="90" w:type="dxa"/>
              <w:right w:w="110" w:type="dxa"/>
            </w:tcMar>
            <w:vAlign w:val="center"/>
          </w:tcPr>
          <w:p w14:paraId="2B560781" w14:textId="77777777" w:rsidR="00947D72" w:rsidRPr="00BD1DA7" w:rsidRDefault="00000000">
            <w:pPr>
              <w:spacing w:after="0" w:line="240" w:lineRule="auto"/>
              <w:rPr>
                <w:lang w:val="ro-RO"/>
              </w:rPr>
            </w:pPr>
            <w:r>
              <w:rPr>
                <w:rFonts w:eastAsia="Carlito"/>
                <w:color w:val="20262B"/>
                <w:sz w:val="19"/>
                <w:lang w:val="ro-RO"/>
              </w:rPr>
              <w:t>6 mar. 2025</w:t>
            </w:r>
          </w:p>
        </w:tc>
        <w:tc>
          <w:tcPr>
            <w:tcW w:w="4608" w:type="dxa"/>
            <w:tcMar>
              <w:top w:w="90" w:type="dxa"/>
              <w:left w:w="110" w:type="dxa"/>
              <w:bottom w:w="90" w:type="dxa"/>
              <w:right w:w="110" w:type="dxa"/>
            </w:tcMar>
            <w:vAlign w:val="center"/>
          </w:tcPr>
          <w:p w14:paraId="1E6AA28D" w14:textId="77777777" w:rsidR="00947D72" w:rsidRPr="00BD1DA7" w:rsidRDefault="00000000">
            <w:pPr>
              <w:spacing w:after="0" w:line="240" w:lineRule="auto"/>
              <w:rPr>
                <w:lang w:val="ro-RO"/>
              </w:rPr>
            </w:pPr>
            <w:r>
              <w:rPr>
                <w:rFonts w:eastAsia="Carlito"/>
                <w:color w:val="20262B"/>
                <w:sz w:val="19"/>
                <w:lang w:val="ro-RO"/>
              </w:rPr>
              <w:t>CEDO declară inadmisibilă cererea Georgescu v. România.</w:t>
            </w:r>
          </w:p>
        </w:tc>
        <w:tc>
          <w:tcPr>
            <w:tcW w:w="3888" w:type="dxa"/>
            <w:tcMar>
              <w:top w:w="90" w:type="dxa"/>
              <w:left w:w="110" w:type="dxa"/>
              <w:bottom w:w="90" w:type="dxa"/>
              <w:right w:w="110" w:type="dxa"/>
            </w:tcMar>
            <w:vAlign w:val="center"/>
          </w:tcPr>
          <w:p w14:paraId="7BEAC805" w14:textId="77777777" w:rsidR="00947D72" w:rsidRPr="00BD1DA7" w:rsidRDefault="00000000">
            <w:pPr>
              <w:spacing w:after="0" w:line="240" w:lineRule="auto"/>
              <w:rPr>
                <w:lang w:val="ro-RO"/>
              </w:rPr>
            </w:pPr>
            <w:r>
              <w:rPr>
                <w:rFonts w:eastAsia="Carlito"/>
                <w:color w:val="20262B"/>
                <w:sz w:val="19"/>
                <w:lang w:val="ro-RO"/>
              </w:rPr>
              <w:t>Decizia se bazează pe domeniul de aplicare al art. 3 Protocolul nr. 1, nu pe validarea pe fond a Hotărârii CCR.</w:t>
            </w:r>
          </w:p>
        </w:tc>
      </w:tr>
      <w:tr w:rsidR="00947D72" w:rsidRPr="00BD1DA7" w14:paraId="23DFE4FD" w14:textId="77777777">
        <w:trPr>
          <w:cantSplit/>
          <w:jc w:val="center"/>
        </w:trPr>
        <w:tc>
          <w:tcPr>
            <w:tcW w:w="1584" w:type="dxa"/>
            <w:shd w:val="clear" w:color="auto" w:fill="F5F7F8"/>
            <w:tcMar>
              <w:top w:w="90" w:type="dxa"/>
              <w:left w:w="110" w:type="dxa"/>
              <w:bottom w:w="90" w:type="dxa"/>
              <w:right w:w="110" w:type="dxa"/>
            </w:tcMar>
            <w:vAlign w:val="center"/>
          </w:tcPr>
          <w:p w14:paraId="5396AD76" w14:textId="77777777" w:rsidR="00947D72" w:rsidRPr="00BD1DA7" w:rsidRDefault="00000000">
            <w:pPr>
              <w:spacing w:after="0" w:line="240" w:lineRule="auto"/>
              <w:rPr>
                <w:lang w:val="ro-RO"/>
              </w:rPr>
            </w:pPr>
            <w:r>
              <w:rPr>
                <w:rFonts w:eastAsia="Carlito"/>
                <w:color w:val="20262B"/>
                <w:sz w:val="19"/>
                <w:lang w:val="ro-RO"/>
              </w:rPr>
              <w:t>4 și 18 mai 2025</w:t>
            </w:r>
          </w:p>
        </w:tc>
        <w:tc>
          <w:tcPr>
            <w:tcW w:w="4608" w:type="dxa"/>
            <w:shd w:val="clear" w:color="auto" w:fill="F5F7F8"/>
            <w:tcMar>
              <w:top w:w="90" w:type="dxa"/>
              <w:left w:w="110" w:type="dxa"/>
              <w:bottom w:w="90" w:type="dxa"/>
              <w:right w:w="110" w:type="dxa"/>
            </w:tcMar>
            <w:vAlign w:val="center"/>
          </w:tcPr>
          <w:p w14:paraId="568961B5" w14:textId="77777777" w:rsidR="00947D72" w:rsidRPr="00BD1DA7" w:rsidRDefault="00000000">
            <w:pPr>
              <w:spacing w:after="0" w:line="240" w:lineRule="auto"/>
              <w:rPr>
                <w:lang w:val="ro-RO"/>
              </w:rPr>
            </w:pPr>
            <w:r>
              <w:rPr>
                <w:rFonts w:eastAsia="Carlito"/>
                <w:color w:val="20262B"/>
                <w:sz w:val="19"/>
                <w:lang w:val="ro-RO"/>
              </w:rPr>
              <w:t>Alegeri prezidențiale repetate.</w:t>
            </w:r>
          </w:p>
        </w:tc>
        <w:tc>
          <w:tcPr>
            <w:tcW w:w="3888" w:type="dxa"/>
            <w:shd w:val="clear" w:color="auto" w:fill="F5F7F8"/>
            <w:tcMar>
              <w:top w:w="90" w:type="dxa"/>
              <w:left w:w="110" w:type="dxa"/>
              <w:bottom w:w="90" w:type="dxa"/>
              <w:right w:w="110" w:type="dxa"/>
            </w:tcMar>
            <w:vAlign w:val="center"/>
          </w:tcPr>
          <w:p w14:paraId="6F762E6C" w14:textId="77777777" w:rsidR="00947D72" w:rsidRPr="00BD1DA7" w:rsidRDefault="00000000">
            <w:pPr>
              <w:spacing w:after="0" w:line="240" w:lineRule="auto"/>
              <w:rPr>
                <w:lang w:val="ro-RO"/>
              </w:rPr>
            </w:pPr>
            <w:r>
              <w:rPr>
                <w:rFonts w:eastAsia="Carlito"/>
                <w:color w:val="20262B"/>
                <w:sz w:val="19"/>
                <w:lang w:val="ro-RO"/>
              </w:rPr>
              <w:t>Proces nou; rezultatul este ulterior validat de CCR.</w:t>
            </w:r>
          </w:p>
        </w:tc>
      </w:tr>
      <w:tr w:rsidR="00947D72" w:rsidRPr="00BD1DA7" w14:paraId="40F5F320" w14:textId="77777777">
        <w:trPr>
          <w:cantSplit/>
          <w:jc w:val="center"/>
        </w:trPr>
        <w:tc>
          <w:tcPr>
            <w:tcW w:w="1584" w:type="dxa"/>
            <w:tcMar>
              <w:top w:w="90" w:type="dxa"/>
              <w:left w:w="110" w:type="dxa"/>
              <w:bottom w:w="90" w:type="dxa"/>
              <w:right w:w="110" w:type="dxa"/>
            </w:tcMar>
            <w:vAlign w:val="center"/>
          </w:tcPr>
          <w:p w14:paraId="5F608C35" w14:textId="77777777" w:rsidR="00947D72" w:rsidRPr="00BD1DA7" w:rsidRDefault="00000000">
            <w:pPr>
              <w:spacing w:after="0" w:line="240" w:lineRule="auto"/>
              <w:rPr>
                <w:lang w:val="ro-RO"/>
              </w:rPr>
            </w:pPr>
            <w:r>
              <w:rPr>
                <w:rFonts w:eastAsia="Carlito"/>
                <w:color w:val="20262B"/>
                <w:sz w:val="19"/>
                <w:lang w:val="ro-RO"/>
              </w:rPr>
              <w:t>22 mai 2025</w:t>
            </w:r>
          </w:p>
        </w:tc>
        <w:tc>
          <w:tcPr>
            <w:tcW w:w="4608" w:type="dxa"/>
            <w:tcMar>
              <w:top w:w="90" w:type="dxa"/>
              <w:left w:w="110" w:type="dxa"/>
              <w:bottom w:w="90" w:type="dxa"/>
              <w:right w:w="110" w:type="dxa"/>
            </w:tcMar>
            <w:vAlign w:val="center"/>
          </w:tcPr>
          <w:p w14:paraId="15EFC657" w14:textId="77777777" w:rsidR="00947D72" w:rsidRPr="00BD1DA7" w:rsidRDefault="00000000">
            <w:pPr>
              <w:spacing w:after="0" w:line="240" w:lineRule="auto"/>
              <w:rPr>
                <w:lang w:val="ro-RO"/>
              </w:rPr>
            </w:pPr>
            <w:r>
              <w:rPr>
                <w:rFonts w:eastAsia="Carlito"/>
                <w:color w:val="20262B"/>
                <w:sz w:val="19"/>
                <w:lang w:val="ro-RO"/>
              </w:rPr>
              <w:t>CCR validează alegerea lui Nicușor-Daniel Dan.</w:t>
            </w:r>
          </w:p>
        </w:tc>
        <w:tc>
          <w:tcPr>
            <w:tcW w:w="3888" w:type="dxa"/>
            <w:tcMar>
              <w:top w:w="90" w:type="dxa"/>
              <w:left w:w="110" w:type="dxa"/>
              <w:bottom w:w="90" w:type="dxa"/>
              <w:right w:w="110" w:type="dxa"/>
            </w:tcMar>
            <w:vAlign w:val="center"/>
          </w:tcPr>
          <w:p w14:paraId="2A98BF77" w14:textId="77777777" w:rsidR="00947D72" w:rsidRPr="00BD1DA7" w:rsidRDefault="00000000">
            <w:pPr>
              <w:spacing w:after="0" w:line="240" w:lineRule="auto"/>
              <w:rPr>
                <w:lang w:val="ro-RO"/>
              </w:rPr>
            </w:pPr>
            <w:r>
              <w:rPr>
                <w:rFonts w:eastAsia="Carlito"/>
                <w:color w:val="20262B"/>
                <w:sz w:val="19"/>
                <w:lang w:val="ro-RO"/>
              </w:rPr>
              <w:t>Finalizarea ciclului electoral repetat.</w:t>
            </w:r>
          </w:p>
        </w:tc>
      </w:tr>
    </w:tbl>
    <w:p w14:paraId="367CE3A0" w14:textId="77777777" w:rsidR="00947D72" w:rsidRPr="00BD1DA7" w:rsidRDefault="00947D72">
      <w:pPr>
        <w:spacing w:after="20"/>
        <w:rPr>
          <w:lang w:val="ro-RO"/>
        </w:rPr>
      </w:pPr>
    </w:p>
    <w:p w14:paraId="70353229" w14:textId="77777777" w:rsidR="00947D72" w:rsidRPr="00BD1DA7" w:rsidRDefault="00000000">
      <w:pPr>
        <w:rPr>
          <w:lang w:val="ro-RO"/>
        </w:rPr>
      </w:pPr>
      <w:r>
        <w:rPr>
          <w:rFonts w:eastAsia="Carlito"/>
          <w:color w:val="20262B"/>
          <w:lang w:val="ro-RO"/>
        </w:rPr>
        <w:t>Cronologia corectează o eroare bibliografică din versiunea inițială: actul de anulare este Hotărârea CCR nr. 32 din 6 decembrie 2024, nu „Hotărârea nr. 1/2024”.</w:t>
      </w:r>
      <w:r>
        <w:rPr>
          <w:rFonts w:eastAsia="Carlito"/>
          <w:color w:val="2C6975"/>
          <w:sz w:val="16"/>
          <w:vertAlign w:val="superscript"/>
          <w:lang w:val="ro-RO"/>
        </w:rPr>
        <w:t xml:space="preserve"> [S5,S6]</w:t>
      </w:r>
    </w:p>
    <w:p w14:paraId="43D24236" w14:textId="77777777" w:rsidR="00947D72" w:rsidRPr="00BD1DA7" w:rsidRDefault="00000000">
      <w:pPr>
        <w:pStyle w:val="Heading2"/>
        <w:spacing w:before="160" w:after="100"/>
        <w:rPr>
          <w:lang w:val="ro-RO"/>
        </w:rPr>
      </w:pPr>
      <w:r>
        <w:rPr>
          <w:rFonts w:ascii="Carlito" w:eastAsia="Carlito" w:hAnsi="Carlito"/>
          <w:color w:val="2C6975"/>
          <w:lang w:val="ro-RO"/>
        </w:rPr>
        <w:t>7.2 Ce a constatat formal CCR</w:t>
      </w:r>
    </w:p>
    <w:p w14:paraId="7442DA12" w14:textId="77777777" w:rsidR="00947D72" w:rsidRPr="00BD1DA7" w:rsidRDefault="00000000">
      <w:pPr>
        <w:rPr>
          <w:lang w:val="ro-RO"/>
        </w:rPr>
      </w:pPr>
      <w:r>
        <w:rPr>
          <w:rFonts w:eastAsia="Carlito"/>
          <w:color w:val="20262B"/>
          <w:lang w:val="ro-RO"/>
        </w:rPr>
        <w:t>În Hotărârea nr. 32, CCR arată că a examinat aspectele de legalitate și corectitudine apărute după declasificarea notelor Ministerului Afacerilor Interne - DGPI, SIE, SRI și STS. Curtea a concluzionat că procesul electoral a fost viciat prin neregularități care au afectat caracterul liber și corect al votului, egalitatea de șanse, transparența campaniei și respectarea regulilor de finanțare. Curtea a invocat utilizarea netransparentă a tehnologiilor digitale și a inteligenței artificiale și discrepanțe privind finanțarea declarată.</w:t>
      </w:r>
      <w:r>
        <w:rPr>
          <w:rFonts w:eastAsia="Carlito"/>
          <w:color w:val="2C6975"/>
          <w:sz w:val="16"/>
          <w:vertAlign w:val="superscript"/>
          <w:lang w:val="ro-RO"/>
        </w:rPr>
        <w:t xml:space="preserve"> [S6]</w:t>
      </w:r>
    </w:p>
    <w:p w14:paraId="43B4D72E" w14:textId="77777777" w:rsidR="00947D72" w:rsidRPr="00BD1DA7" w:rsidRDefault="00000000">
      <w:pPr>
        <w:rPr>
          <w:lang w:val="ro-RO"/>
        </w:rPr>
      </w:pPr>
      <w:r>
        <w:rPr>
          <w:rFonts w:eastAsia="Carlito"/>
          <w:color w:val="20262B"/>
          <w:lang w:val="ro-RO"/>
        </w:rPr>
        <w:t>Aceasta este constatarea juridico-constituțională a Curții. Nu este însă echivalentă cu o hotărâre penală care stabilește vinovăția unei persoane dincolo de standardul penal, nici cu o demonstrație publică exhaustivă a atribuirii fiecărei operațiuni digitale unui stat străin. A confunda aceste niveluri transformă o hotărâre constituțională într-o probă universală pentru afirmații pe care ea nu le soluționează.</w:t>
      </w:r>
    </w:p>
    <w:p w14:paraId="0BAFD642" w14:textId="77777777" w:rsidR="00947D72" w:rsidRPr="00BD1DA7" w:rsidRDefault="00000000">
      <w:pPr>
        <w:pStyle w:val="Heading2"/>
        <w:spacing w:before="160" w:after="100"/>
        <w:rPr>
          <w:lang w:val="ro-RO"/>
        </w:rPr>
      </w:pPr>
      <w:r>
        <w:rPr>
          <w:rFonts w:ascii="Carlito" w:eastAsia="Carlito" w:hAnsi="Carlito"/>
          <w:color w:val="2C6975"/>
          <w:lang w:val="ro-RO"/>
        </w:rPr>
        <w:t>7.3 Problema auto-sesizării</w:t>
      </w:r>
    </w:p>
    <w:p w14:paraId="73BB4D95" w14:textId="77777777" w:rsidR="00947D72" w:rsidRPr="00BD1DA7" w:rsidRDefault="00000000">
      <w:pPr>
        <w:rPr>
          <w:lang w:val="ro-RO"/>
        </w:rPr>
      </w:pPr>
      <w:r>
        <w:rPr>
          <w:rFonts w:eastAsia="Carlito"/>
          <w:color w:val="20262B"/>
          <w:lang w:val="ro-RO"/>
        </w:rPr>
        <w:t>Hotărârea nr. 32 își întemeiază competența pe art. 146 lit. f) din Constituție și pe rolul Curții de a veghea la respectarea procedurii pentru alegerea Președintelui. Legea nr. 47/1992 consacră această competență generală. În același timp, art. 52 din Legea nr. 370/2004 reglementează explicit anularea la cererea partidelor, alianțelor, organizațiilor minorităților sau candidaților, în termen de trei zile și pe baza unor dovezi. Tensiunea dintre competența generală și procedura specială explică de ce formula „auto-sesizarea era pur și simplu prevăzută de lege” este prea categorică.</w:t>
      </w:r>
      <w:r>
        <w:rPr>
          <w:rFonts w:eastAsia="Carlito"/>
          <w:color w:val="2C6975"/>
          <w:sz w:val="16"/>
          <w:vertAlign w:val="superscript"/>
          <w:lang w:val="ro-RO"/>
        </w:rPr>
        <w:t xml:space="preserve"> [S3,S4,S6]</w:t>
      </w:r>
    </w:p>
    <w:p w14:paraId="739C4264" w14:textId="77777777" w:rsidR="00947D72" w:rsidRPr="00BD1DA7" w:rsidRDefault="00000000">
      <w:pPr>
        <w:rPr>
          <w:lang w:val="ro-RO"/>
        </w:rPr>
      </w:pPr>
      <w:r>
        <w:rPr>
          <w:rFonts w:eastAsia="Carlito"/>
          <w:color w:val="20262B"/>
          <w:lang w:val="ro-RO"/>
        </w:rPr>
        <w:lastRenderedPageBreak/>
        <w:t>Comisia de la Veneția a remarcat tocmai particularitatea cazului românesc: Curtea a intervenit ex officio pe baza unei competențe formulate larg, deși legea electorală conține o normă mai concretă privind anularea la cererea competitorilor. Comisia nu a declarat Hotărârea nr. 32 legală sau ilegală; mandatul său a fost să formuleze standarde generale pornind de la cazul românesc.</w:t>
      </w:r>
      <w:r>
        <w:rPr>
          <w:rFonts w:eastAsia="Carlito"/>
          <w:color w:val="2C6975"/>
          <w:sz w:val="16"/>
          <w:vertAlign w:val="superscript"/>
          <w:lang w:val="ro-RO"/>
        </w:rPr>
        <w:t xml:space="preserve"> [S7]</w:t>
      </w:r>
    </w:p>
    <w:p w14:paraId="4CABDA82" w14:textId="77777777" w:rsidR="00947D72" w:rsidRPr="00BD1DA7" w:rsidRDefault="00000000">
      <w:pPr>
        <w:pStyle w:val="Heading2"/>
        <w:spacing w:before="160" w:after="100"/>
        <w:rPr>
          <w:lang w:val="ro-RO"/>
        </w:rPr>
      </w:pPr>
      <w:r>
        <w:rPr>
          <w:rFonts w:ascii="Carlito" w:eastAsia="Carlito" w:hAnsi="Carlito"/>
          <w:color w:val="2C6975"/>
          <w:lang w:val="ro-RO"/>
        </w:rPr>
        <w:t>7.4 Standardele Comisiei de la Veneția</w:t>
      </w:r>
    </w:p>
    <w:p w14:paraId="77EA8185" w14:textId="77777777" w:rsidR="00947D72" w:rsidRPr="00BD1DA7" w:rsidRDefault="00000000">
      <w:pPr>
        <w:rPr>
          <w:lang w:val="ro-RO"/>
        </w:rPr>
      </w:pPr>
      <w:r>
        <w:rPr>
          <w:rFonts w:eastAsia="Carlito"/>
          <w:color w:val="20262B"/>
          <w:lang w:val="ro-RO"/>
        </w:rPr>
        <w:t>Raportul urgent CDL-AD(2025)003 oferă un reper mai bun decât polarizarea politică. El pornește de la ideea că alegătorii trebuie, ca regulă, să poată avea încredere că votul lor este final și că anularea este justificată numai în circumstanțe foarte excepționale - principiul ultima ratio. Puterea instanței trebuie ghidată și limitată prin lege, iar un mecanism de apel eficient trebuie să existe.</w:t>
      </w:r>
      <w:r>
        <w:rPr>
          <w:rFonts w:eastAsia="Carlito"/>
          <w:color w:val="2C6975"/>
          <w:sz w:val="16"/>
          <w:vertAlign w:val="superscript"/>
          <w:lang w:val="ro-RO"/>
        </w:rPr>
        <w:t xml:space="preserve"> [S7]</w:t>
      </w:r>
    </w:p>
    <w:p w14:paraId="7A77B26A" w14:textId="77777777" w:rsidR="00947D72" w:rsidRPr="00BD1DA7" w:rsidRDefault="00000000">
      <w:pPr>
        <w:rPr>
          <w:lang w:val="ro-RO"/>
        </w:rPr>
      </w:pPr>
      <w:r>
        <w:rPr>
          <w:rFonts w:eastAsia="Carlito"/>
          <w:color w:val="20262B"/>
          <w:lang w:val="ro-RO"/>
        </w:rPr>
        <w:t>Pentru intervenția ex officio, Comisia arată că standardele internaționale nu o impun și nici nu o interzic în principiu, dar consideră că o asemenea putere, dacă există, ar trebui limitată la circumstanțe excepționale și reglementată clar. Procedura trebuie să fie echitabilă și obiectivă, să evite arbitrarul, să permită celor interesați să își prezinte argumentele și să conducă la o decizie suficient motivată într-un termen rezonabil. Criteriul substanțial central este dacă neregularitățile au putut influența rezultatul.</w:t>
      </w:r>
      <w:r>
        <w:rPr>
          <w:rFonts w:eastAsia="Carlito"/>
          <w:color w:val="2C6975"/>
          <w:sz w:val="16"/>
          <w:vertAlign w:val="superscript"/>
          <w:lang w:val="ro-RO"/>
        </w:rPr>
        <w:t xml:space="preserve"> [S7]</w:t>
      </w:r>
    </w:p>
    <w:tbl>
      <w:tblPr>
        <w:tblW w:w="0" w:type="auto"/>
        <w:jc w:val="center"/>
        <w:tblBorders>
          <w:top w:val="single" w:sz="8" w:space="0" w:color="356B4E"/>
          <w:left w:val="single" w:sz="8" w:space="0" w:color="356B4E"/>
          <w:bottom w:val="single" w:sz="8" w:space="0" w:color="356B4E"/>
          <w:right w:val="single" w:sz="8" w:space="0" w:color="356B4E"/>
          <w:insideH w:val="single" w:sz="8" w:space="0" w:color="356B4E"/>
          <w:insideV w:val="single" w:sz="8" w:space="0" w:color="356B4E"/>
        </w:tblBorders>
        <w:tblLook w:val="04A0" w:firstRow="1" w:lastRow="0" w:firstColumn="1" w:lastColumn="0" w:noHBand="0" w:noVBand="1"/>
      </w:tblPr>
      <w:tblGrid>
        <w:gridCol w:w="9858"/>
      </w:tblGrid>
      <w:tr w:rsidR="00947D72" w:rsidRPr="00BD1DA7" w14:paraId="7B490923" w14:textId="77777777">
        <w:trPr>
          <w:cantSplit/>
          <w:jc w:val="center"/>
        </w:trPr>
        <w:tc>
          <w:tcPr>
            <w:tcW w:w="9878" w:type="dxa"/>
            <w:shd w:val="clear" w:color="auto" w:fill="EEF6F0"/>
            <w:tcMar>
              <w:top w:w="120" w:type="dxa"/>
              <w:left w:w="150" w:type="dxa"/>
              <w:bottom w:w="120" w:type="dxa"/>
              <w:right w:w="150" w:type="dxa"/>
            </w:tcMar>
          </w:tcPr>
          <w:p w14:paraId="5D048A50" w14:textId="77777777" w:rsidR="00947D72" w:rsidRPr="00BD1DA7" w:rsidRDefault="00000000">
            <w:pPr>
              <w:spacing w:after="40"/>
              <w:rPr>
                <w:lang w:val="ro-RO"/>
              </w:rPr>
            </w:pPr>
            <w:r>
              <w:rPr>
                <w:rFonts w:eastAsia="Carlito"/>
                <w:b/>
                <w:color w:val="356B4E"/>
                <w:sz w:val="18"/>
                <w:lang w:val="ro-RO"/>
              </w:rPr>
              <w:t>Testul de legitimitate</w:t>
            </w:r>
          </w:p>
          <w:p w14:paraId="123AF801" w14:textId="77777777" w:rsidR="00947D72" w:rsidRPr="00BD1DA7" w:rsidRDefault="00000000">
            <w:pPr>
              <w:spacing w:after="0" w:line="252" w:lineRule="auto"/>
              <w:rPr>
                <w:lang w:val="ro-RO"/>
              </w:rPr>
            </w:pPr>
            <w:r>
              <w:rPr>
                <w:rFonts w:eastAsia="Carlito"/>
                <w:color w:val="20262B"/>
                <w:sz w:val="18"/>
                <w:lang w:val="ro-RO"/>
              </w:rPr>
              <w:t>Cu cât remediul este mai radical - până la anularea întregului scrutin -, cu atât standardul de motivare, transparență, probă și posibilitate de contestare trebuie să fie mai exigent. Aceasta nu face imposibilă apărarea democrației; o face mai credibilă.</w:t>
            </w:r>
          </w:p>
        </w:tc>
      </w:tr>
    </w:tbl>
    <w:p w14:paraId="3BF08E8F" w14:textId="77777777" w:rsidR="00947D72" w:rsidRPr="00BD1DA7" w:rsidRDefault="00947D72">
      <w:pPr>
        <w:spacing w:after="20"/>
        <w:rPr>
          <w:lang w:val="ro-RO"/>
        </w:rPr>
      </w:pPr>
    </w:p>
    <w:p w14:paraId="1699CDC2" w14:textId="77777777" w:rsidR="00947D72" w:rsidRPr="00BD1DA7" w:rsidRDefault="00000000">
      <w:pPr>
        <w:pStyle w:val="Heading2"/>
        <w:spacing w:before="160" w:after="100"/>
        <w:rPr>
          <w:lang w:val="ro-RO"/>
        </w:rPr>
      </w:pPr>
      <w:r>
        <w:rPr>
          <w:rFonts w:ascii="Carlito" w:eastAsia="Carlito" w:hAnsi="Carlito"/>
          <w:color w:val="2C6975"/>
          <w:lang w:val="ro-RO"/>
        </w:rPr>
        <w:t>7.5 Interferență, platforme și ceea ce încă trebuie separat</w:t>
      </w:r>
    </w:p>
    <w:p w14:paraId="25773BBB" w14:textId="77777777" w:rsidR="00947D72" w:rsidRPr="00BD1DA7" w:rsidRDefault="00000000">
      <w:pPr>
        <w:rPr>
          <w:lang w:val="ro-RO"/>
        </w:rPr>
      </w:pPr>
      <w:r>
        <w:rPr>
          <w:rFonts w:eastAsia="Carlito"/>
          <w:color w:val="20262B"/>
          <w:lang w:val="ro-RO"/>
        </w:rPr>
        <w:t>Notele declasificate și dezbaterea publică au descris promovare coordonată pe TikTok, discrepanțe de finanțare și activitate cibernetică neobișnuită. În documentul inițial, aceste elemente erau prezentate într-o listă omogenă de „probe oficiale”. O versiune riguroasă trebuie să distingă: evaluări de intelligence; date confirmate de platformă; suspiciuni ori acuzații aflate în anchetă; și fapte stabilite definitiv de o instanță. Gradul de certitudine nu este același.</w:t>
      </w:r>
    </w:p>
    <w:p w14:paraId="6A3B4DDF" w14:textId="77777777" w:rsidR="00947D72" w:rsidRPr="00BD1DA7" w:rsidRDefault="00000000">
      <w:pPr>
        <w:rPr>
          <w:lang w:val="ro-RO"/>
        </w:rPr>
      </w:pPr>
      <w:r>
        <w:rPr>
          <w:rFonts w:eastAsia="Carlito"/>
          <w:color w:val="20262B"/>
          <w:lang w:val="ro-RO"/>
        </w:rPr>
        <w:t>Comisia Europeană a deschis la 17 decembrie 2024 o procedură formală împotriva TikTok pentru o posibilă încălcare a DSA, concentrându-se pe gestionarea riscurilor pentru integritatea electorală, sistemele de recomandare, manipularea coordonată neautentică și politicile privind publicitatea politică. Deschiderea unei proceduri este relevantă deoarece arată că problema platformei nu a fost imaginară; în același timp, o investigație deschisă nu este o constatare finală de încălcare.</w:t>
      </w:r>
      <w:r>
        <w:rPr>
          <w:rFonts w:eastAsia="Carlito"/>
          <w:color w:val="2C6975"/>
          <w:sz w:val="16"/>
          <w:vertAlign w:val="superscript"/>
          <w:lang w:val="ro-RO"/>
        </w:rPr>
        <w:t xml:space="preserve"> [S9]</w:t>
      </w:r>
    </w:p>
    <w:p w14:paraId="00275528" w14:textId="77777777" w:rsidR="00947D72" w:rsidRPr="00BD1DA7" w:rsidRDefault="00000000">
      <w:pPr>
        <w:pStyle w:val="Heading2"/>
        <w:spacing w:before="160" w:after="100"/>
        <w:rPr>
          <w:lang w:val="ro-RO"/>
        </w:rPr>
      </w:pPr>
      <w:r>
        <w:rPr>
          <w:rFonts w:ascii="Carlito" w:eastAsia="Carlito" w:hAnsi="Carlito"/>
          <w:color w:val="2C6975"/>
          <w:lang w:val="ro-RO"/>
        </w:rPr>
        <w:t>7.6 CEDO: ce a spus și, mai ales, ce nu a spus</w:t>
      </w:r>
    </w:p>
    <w:p w14:paraId="7FFA9DA5" w14:textId="77777777" w:rsidR="00947D72" w:rsidRPr="00BD1DA7" w:rsidRDefault="00000000">
      <w:pPr>
        <w:rPr>
          <w:lang w:val="ro-RO"/>
        </w:rPr>
      </w:pPr>
      <w:r>
        <w:rPr>
          <w:rFonts w:eastAsia="Carlito"/>
          <w:color w:val="20262B"/>
          <w:lang w:val="ro-RO"/>
        </w:rPr>
        <w:t>La 6 martie 2025, Curtea Europeană a Drepturilor Omului a declarat inadmisibilă cererea Călin Georgescu v. România în ceea ce privește dreptul la alegeri libere. Motivul central a fost că funcția de Președinte al României nu intră, în structura constituțională românească, în sfera „corpului legislativ” vizat de art. 3 din Protocolul nr. 1. Această inadmisibilitate nu trebuie prezentată drept o validare pe fond a probelor sau a raționamentului Hotărârii CCR nr. 32.</w:t>
      </w:r>
      <w:r>
        <w:rPr>
          <w:rFonts w:eastAsia="Carlito"/>
          <w:color w:val="2C6975"/>
          <w:sz w:val="16"/>
          <w:vertAlign w:val="superscript"/>
          <w:lang w:val="ro-RO"/>
        </w:rPr>
        <w:t xml:space="preserve"> [S8]</w:t>
      </w:r>
    </w:p>
    <w:p w14:paraId="4C7EB309" w14:textId="77777777" w:rsidR="00947D72" w:rsidRPr="00BD1DA7" w:rsidRDefault="00000000">
      <w:pPr>
        <w:pStyle w:val="Heading2"/>
        <w:spacing w:before="160" w:after="100"/>
        <w:rPr>
          <w:lang w:val="ro-RO"/>
        </w:rPr>
      </w:pPr>
      <w:r>
        <w:rPr>
          <w:rFonts w:ascii="Carlito" w:eastAsia="Carlito" w:hAnsi="Carlito"/>
          <w:color w:val="2C6975"/>
          <w:lang w:val="ro-RO"/>
        </w:rPr>
        <w:t>7.7 Percepția publică și problema încrederii</w:t>
      </w:r>
    </w:p>
    <w:p w14:paraId="33A73E4E" w14:textId="77777777" w:rsidR="00947D72" w:rsidRPr="00BD1DA7" w:rsidRDefault="00000000">
      <w:pPr>
        <w:rPr>
          <w:lang w:val="ro-RO"/>
        </w:rPr>
      </w:pPr>
      <w:r>
        <w:rPr>
          <w:rFonts w:eastAsia="Carlito"/>
          <w:color w:val="20262B"/>
          <w:lang w:val="ro-RO"/>
        </w:rPr>
        <w:t>O instituție poate avea competență juridică și totuși să eșueze în a produce legitimitate publică. IRES a constatat la finalul lui 2025 că 61% dintre respondenți considerau anularea alegerilor o decizie greșită; 67% considerau insuficiente informațiile oferite publicului pentru motivarea deciziei, iar 59% apreciau comunicarea autorităților ca netransparentă. Sondajul nu dovedește legalitatea sau ilegalitatea anulării, dar măsoară costul de încredere al unei decizii excepționale.</w:t>
      </w:r>
      <w:r>
        <w:rPr>
          <w:rFonts w:eastAsia="Carlito"/>
          <w:color w:val="2C6975"/>
          <w:sz w:val="16"/>
          <w:vertAlign w:val="superscript"/>
          <w:lang w:val="ro-RO"/>
        </w:rPr>
        <w:t xml:space="preserve"> [S12]</w:t>
      </w:r>
    </w:p>
    <w:p w14:paraId="320E0E9A" w14:textId="77777777" w:rsidR="00947D72" w:rsidRPr="00BD1DA7" w:rsidRDefault="00000000">
      <w:pPr>
        <w:pStyle w:val="Heading1"/>
        <w:spacing w:before="220" w:after="100"/>
        <w:rPr>
          <w:lang w:val="ro-RO"/>
        </w:rPr>
      </w:pPr>
      <w:r>
        <w:rPr>
          <w:rFonts w:ascii="Carlito" w:eastAsia="Carlito" w:hAnsi="Carlito"/>
          <w:color w:val="17324D"/>
          <w:sz w:val="34"/>
          <w:lang w:val="ro-RO"/>
        </w:rPr>
        <w:lastRenderedPageBreak/>
        <w:t>8. 2025-2026: repetarea scrutinului și lecțiile instituționale</w:t>
      </w:r>
    </w:p>
    <w:p w14:paraId="605302BC" w14:textId="77777777" w:rsidR="00947D72" w:rsidRPr="00BD1DA7" w:rsidRDefault="00000000">
      <w:pPr>
        <w:rPr>
          <w:lang w:val="ro-RO"/>
        </w:rPr>
      </w:pPr>
      <w:r>
        <w:rPr>
          <w:rFonts w:eastAsia="Carlito"/>
          <w:color w:val="20262B"/>
          <w:lang w:val="ro-RO"/>
        </w:rPr>
        <w:t>Alegerile prezidențiale repetate au avut loc la 4 și 18 mai 2025. Curtea Constituțională a validat alegerea lui Nicușor-Daniel Dan prin Hotărârea nr. 44 din 22 mai 2025, iar mandatul a început după depunerea jurământului la 26 mai.</w:t>
      </w:r>
      <w:r>
        <w:rPr>
          <w:rFonts w:eastAsia="Carlito"/>
          <w:color w:val="2C6975"/>
          <w:sz w:val="16"/>
          <w:vertAlign w:val="superscript"/>
          <w:lang w:val="ro-RO"/>
        </w:rPr>
        <w:t xml:space="preserve"> [S20]</w:t>
      </w:r>
    </w:p>
    <w:p w14:paraId="6B9CC980" w14:textId="77777777" w:rsidR="00947D72" w:rsidRPr="00BD1DA7" w:rsidRDefault="00000000">
      <w:pPr>
        <w:rPr>
          <w:lang w:val="ro-RO"/>
        </w:rPr>
      </w:pPr>
      <w:r>
        <w:rPr>
          <w:rFonts w:eastAsia="Carlito"/>
          <w:color w:val="20262B"/>
          <w:lang w:val="ro-RO"/>
        </w:rPr>
        <w:t>Raportul final ODIHR din octombrie 2025 apreciază că scrutinul repetat a fost administrat eficient și că alegătorii au avut o alegere reală între alternative politice. Totodată, raportul semnalează supraveghere insuficientă a unor aspecte de campanie, utilizare largă a comportamentului online neautentic, fragmentarea supravegherii spațiului digital și lipsa de transparență în tratarea unor încălcări raportate. Acest tablou mixt este important: problemele de integritate informațională nu au dispărut odată cu anularea din 2024.</w:t>
      </w:r>
      <w:r>
        <w:rPr>
          <w:rFonts w:eastAsia="Carlito"/>
          <w:color w:val="2C6975"/>
          <w:sz w:val="16"/>
          <w:vertAlign w:val="superscript"/>
          <w:lang w:val="ro-RO"/>
        </w:rPr>
        <w:t xml:space="preserve"> [S11]</w:t>
      </w:r>
    </w:p>
    <w:p w14:paraId="78EB2038" w14:textId="77777777" w:rsidR="00947D72" w:rsidRPr="00BD1DA7" w:rsidRDefault="00000000">
      <w:pPr>
        <w:pStyle w:val="Heading2"/>
        <w:spacing w:before="160" w:after="100"/>
        <w:rPr>
          <w:lang w:val="ro-RO"/>
        </w:rPr>
      </w:pPr>
      <w:r>
        <w:rPr>
          <w:rFonts w:ascii="Carlito" w:eastAsia="Carlito" w:hAnsi="Carlito"/>
          <w:color w:val="2C6975"/>
          <w:lang w:val="ro-RO"/>
        </w:rPr>
        <w:t>8.1 România în peisajul media din 2026</w:t>
      </w:r>
    </w:p>
    <w:p w14:paraId="6F3FF3C2" w14:textId="77777777" w:rsidR="00947D72" w:rsidRPr="00BD1DA7" w:rsidRDefault="00000000">
      <w:pPr>
        <w:rPr>
          <w:lang w:val="ro-RO"/>
        </w:rPr>
      </w:pPr>
      <w:r>
        <w:rPr>
          <w:rFonts w:eastAsia="Carlito"/>
          <w:color w:val="20262B"/>
          <w:lang w:val="ro-RO"/>
        </w:rPr>
        <w:t>Media Pluralism Monitor 2026 evaluează România la un scor general de risc de 64%, încadrat „mediu-ridicat”. Componenta „Market Plurality” este evaluată la 89%, „Political Independence” la 58%, „Fundamental Protection” la 45%, iar „Social Inclusiveness” la 63%. Indicatorii sunt instrumente de evaluare a riscului, nu verdicte juridice, dar arată că vulnerabilitățile contemporane sunt mai largi decât simpla relație stat-cenzor: ele includ proprietatea, piața, finanțarea și autonomia editorială.</w:t>
      </w:r>
      <w:r>
        <w:rPr>
          <w:rFonts w:eastAsia="Carlito"/>
          <w:color w:val="2C6975"/>
          <w:sz w:val="16"/>
          <w:vertAlign w:val="superscript"/>
          <w:lang w:val="ro-RO"/>
        </w:rPr>
        <w:t xml:space="preserve"> [S16]</w:t>
      </w:r>
    </w:p>
    <w:p w14:paraId="03775D94" w14:textId="77777777" w:rsidR="00947D72" w:rsidRPr="00BD1DA7" w:rsidRDefault="00000000">
      <w:pPr>
        <w:rPr>
          <w:lang w:val="ro-RO"/>
        </w:rPr>
      </w:pPr>
      <w:r>
        <w:rPr>
          <w:rFonts w:eastAsia="Carlito"/>
          <w:color w:val="20262B"/>
          <w:lang w:val="ro-RO"/>
        </w:rPr>
        <w:t>Raportul Comisiei Europene privind statul de drept pentru 2026 continuă să trateze pluralismul media și mecanismele de control instituțional drept componente ale statului de drept. Pentru analiza de față, sensul este metodologic: libertatea informațională nu se măsoară numai prin absența unei interdicții, ci și prin robustețea instituțiilor care protejează competiția, independența și controlul puterii.</w:t>
      </w:r>
      <w:r>
        <w:rPr>
          <w:rFonts w:eastAsia="Carlito"/>
          <w:color w:val="2C6975"/>
          <w:sz w:val="16"/>
          <w:vertAlign w:val="superscript"/>
          <w:lang w:val="ro-RO"/>
        </w:rPr>
        <w:t xml:space="preserve"> [S17]</w:t>
      </w:r>
    </w:p>
    <w:p w14:paraId="154DB33C" w14:textId="77777777" w:rsidR="00947D72" w:rsidRPr="00BD1DA7" w:rsidRDefault="00000000">
      <w:pPr>
        <w:pStyle w:val="Heading2"/>
        <w:spacing w:before="160" w:after="100"/>
        <w:rPr>
          <w:lang w:val="ro-RO"/>
        </w:rPr>
      </w:pPr>
      <w:r>
        <w:rPr>
          <w:rFonts w:ascii="Carlito" w:eastAsia="Carlito" w:hAnsi="Carlito"/>
          <w:color w:val="2C6975"/>
          <w:lang w:val="ro-RO"/>
        </w:rPr>
        <w:t>8.2 Ce ar trebui schimbat după 2024</w:t>
      </w:r>
    </w:p>
    <w:p w14:paraId="60E1CEAD" w14:textId="77777777" w:rsidR="00947D72" w:rsidRPr="00BD1DA7" w:rsidRDefault="00000000">
      <w:pPr>
        <w:pStyle w:val="ListNumber"/>
        <w:spacing w:after="60"/>
        <w:rPr>
          <w:lang w:val="ro-RO"/>
        </w:rPr>
      </w:pPr>
      <w:r>
        <w:rPr>
          <w:rFonts w:eastAsia="Carlito"/>
          <w:color w:val="20262B"/>
          <w:lang w:val="ro-RO"/>
        </w:rPr>
        <w:t>Competențele de anulare a alegerilor și condițiile unei intervenții ex officio trebuie formulate mai clar în lege, astfel încât o măsură excepțională să nu depindă de o interpretare improvizată în timpul crizei.</w:t>
      </w:r>
      <w:r>
        <w:rPr>
          <w:rFonts w:eastAsia="Carlito"/>
          <w:color w:val="2C6975"/>
          <w:sz w:val="16"/>
          <w:vertAlign w:val="superscript"/>
          <w:lang w:val="ro-RO"/>
        </w:rPr>
        <w:t xml:space="preserve"> [S7]</w:t>
      </w:r>
    </w:p>
    <w:p w14:paraId="51C2A06F" w14:textId="77777777" w:rsidR="00947D72" w:rsidRPr="00BD1DA7" w:rsidRDefault="00000000">
      <w:pPr>
        <w:pStyle w:val="ListNumber"/>
        <w:spacing w:after="60"/>
        <w:rPr>
          <w:lang w:val="ro-RO"/>
        </w:rPr>
      </w:pPr>
      <w:r>
        <w:rPr>
          <w:rFonts w:eastAsia="Carlito"/>
          <w:color w:val="20262B"/>
          <w:lang w:val="ro-RO"/>
        </w:rPr>
        <w:t>Standardele de probă și modul de folosire a informațiilor clasificate trebuie clarificate. Informația sensibilă poate necesita protecție, dar o decizie care anulează votul are nevoie de o motivare publică suficientă pentru control democratic.</w:t>
      </w:r>
    </w:p>
    <w:p w14:paraId="32919725" w14:textId="77777777" w:rsidR="00947D72" w:rsidRPr="00BD1DA7" w:rsidRDefault="00000000">
      <w:pPr>
        <w:pStyle w:val="ListNumber"/>
        <w:spacing w:after="60"/>
        <w:rPr>
          <w:lang w:val="ro-RO"/>
        </w:rPr>
      </w:pPr>
      <w:r>
        <w:rPr>
          <w:rFonts w:eastAsia="Carlito"/>
          <w:color w:val="20262B"/>
          <w:lang w:val="ro-RO"/>
        </w:rPr>
        <w:t>Trebuie separate atribuirea unui atac extern, încălcarea regulilor de finanțare, manipularea algoritmică și frauda electorală. Ele pot interacționa, dar nu sunt juridic sinonime.</w:t>
      </w:r>
    </w:p>
    <w:p w14:paraId="16603199" w14:textId="77777777" w:rsidR="00947D72" w:rsidRPr="00BD1DA7" w:rsidRDefault="00000000">
      <w:pPr>
        <w:pStyle w:val="ListNumber"/>
        <w:spacing w:after="60"/>
        <w:rPr>
          <w:lang w:val="ro-RO"/>
        </w:rPr>
      </w:pPr>
      <w:r>
        <w:rPr>
          <w:rFonts w:eastAsia="Carlito"/>
          <w:color w:val="20262B"/>
          <w:lang w:val="ro-RO"/>
        </w:rPr>
        <w:t>Supravegherea publicității politice online și a comportamentului coordonat trebuie să fie mai previzibilă înainte de scrutin, nu doar reactivă după rezultat.</w:t>
      </w:r>
      <w:r>
        <w:rPr>
          <w:rFonts w:eastAsia="Carlito"/>
          <w:color w:val="2C6975"/>
          <w:sz w:val="16"/>
          <w:vertAlign w:val="superscript"/>
          <w:lang w:val="ro-RO"/>
        </w:rPr>
        <w:t xml:space="preserve"> [S11]</w:t>
      </w:r>
    </w:p>
    <w:p w14:paraId="035B752E" w14:textId="77777777" w:rsidR="00947D72" w:rsidRPr="00BD1DA7" w:rsidRDefault="00000000">
      <w:pPr>
        <w:pStyle w:val="ListNumber"/>
        <w:spacing w:after="60"/>
        <w:rPr>
          <w:lang w:val="ro-RO"/>
        </w:rPr>
      </w:pPr>
      <w:r>
        <w:rPr>
          <w:rFonts w:eastAsia="Carlito"/>
          <w:color w:val="20262B"/>
          <w:lang w:val="ro-RO"/>
        </w:rPr>
        <w:t>Deciziile platformelor și ale autorităților trebuie să lase o urmă verificabilă: criterii, notificare, motivare, audit și cale de contestare.</w:t>
      </w:r>
      <w:r>
        <w:rPr>
          <w:rFonts w:eastAsia="Carlito"/>
          <w:color w:val="2C6975"/>
          <w:sz w:val="16"/>
          <w:vertAlign w:val="superscript"/>
          <w:lang w:val="ro-RO"/>
        </w:rPr>
        <w:t xml:space="preserve"> [S10]</w:t>
      </w:r>
    </w:p>
    <w:p w14:paraId="66AB1AD5" w14:textId="77777777" w:rsidR="00947D72" w:rsidRPr="00BD1DA7" w:rsidRDefault="00000000">
      <w:pPr>
        <w:pStyle w:val="Heading1"/>
        <w:pageBreakBefore/>
        <w:rPr>
          <w:lang w:val="ro-RO"/>
        </w:rPr>
      </w:pPr>
      <w:r>
        <w:rPr>
          <w:lang w:val="ro-RO"/>
        </w:rPr>
        <w:lastRenderedPageBreak/>
        <w:t>9. Cultura între instrumentalizare și anulare: opera, autorul și monumentul</w:t>
      </w:r>
    </w:p>
    <w:p w14:paraId="4D315544" w14:textId="77777777" w:rsidR="00947D72" w:rsidRPr="00BD1DA7" w:rsidRDefault="00000000">
      <w:pPr>
        <w:rPr>
          <w:lang w:val="ro-RO"/>
        </w:rPr>
      </w:pPr>
      <w:r>
        <w:rPr>
          <w:lang w:val="ro-RO"/>
        </w:rPr>
        <w:t>Controlul cultural nu funcționează numai prin interdicție. Puterea poate selecta, canoniza, reinterpreta sau marginaliza opere și personaje pentru a construi o memorie publică compatibilă cu valorile momentului. În această zonă, analiza trebuie să distingă între propagandă de stat, politică a memoriei, critică publică, decizie editorială, boicot și sancțiune reputațională. Faptul că două mecanisme pot avea ca rezultat scăderea vizibilității nu le face juridic sau moral identice.</w:t>
      </w:r>
    </w:p>
    <w:p w14:paraId="78A0DD27" w14:textId="77777777" w:rsidR="00947D72" w:rsidRPr="00BD1DA7" w:rsidRDefault="00000000">
      <w:pPr>
        <w:jc w:val="center"/>
        <w:rPr>
          <w:lang w:val="ro-RO"/>
        </w:rPr>
      </w:pPr>
      <w:r>
        <w:rPr>
          <w:noProof/>
          <w:lang w:val="ro-RO"/>
        </w:rPr>
        <w:drawing>
          <wp:inline distT="0" distB="0" distL="0" distR="0" wp14:anchorId="7ABE54F7" wp14:editId="72CE6EC1">
            <wp:extent cx="5806440" cy="3267859"/>
            <wp:effectExtent l="0" t="0" r="0" b="0"/>
            <wp:docPr id="1" name="Picture 1" descr="Ilustrație conceptuală: un bust de poet între cenzura istorică și sancțiunea reputațională digit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m_censorship_to_digital_dissent.png"/>
                    <pic:cNvPicPr/>
                  </pic:nvPicPr>
                  <pic:blipFill>
                    <a:blip r:embed="rId8"/>
                    <a:stretch>
                      <a:fillRect/>
                    </a:stretch>
                  </pic:blipFill>
                  <pic:spPr>
                    <a:xfrm>
                      <a:off x="0" y="0"/>
                      <a:ext cx="5806440" cy="3267859"/>
                    </a:xfrm>
                    <a:prstGeom prst="rect">
                      <a:avLst/>
                    </a:prstGeom>
                  </pic:spPr>
                </pic:pic>
              </a:graphicData>
            </a:graphic>
          </wp:inline>
        </w:drawing>
      </w:r>
    </w:p>
    <w:p w14:paraId="4E511DFF" w14:textId="77777777" w:rsidR="00947D72" w:rsidRPr="00BD1DA7" w:rsidRDefault="00000000">
      <w:pPr>
        <w:pStyle w:val="Caption"/>
        <w:jc w:val="center"/>
        <w:rPr>
          <w:lang w:val="ro-RO"/>
        </w:rPr>
      </w:pPr>
      <w:r>
        <w:rPr>
          <w:i/>
          <w:lang w:val="ro-RO"/>
        </w:rPr>
        <w:t>Figura 1. De la controlul cultural clasic la presiunea reputațională digitală - ilustrație conceptuală.</w:t>
      </w:r>
    </w:p>
    <w:p w14:paraId="18F8B128" w14:textId="77777777" w:rsidR="00947D72" w:rsidRPr="00BD1DA7" w:rsidRDefault="00000000">
      <w:pPr>
        <w:pStyle w:val="Heading2"/>
        <w:rPr>
          <w:lang w:val="ro-RO"/>
        </w:rPr>
      </w:pPr>
      <w:r>
        <w:rPr>
          <w:lang w:val="ro-RO"/>
        </w:rPr>
        <w:t>9.1 Regimurile nu doar interzic: ele selectează și instrumentalizează</w:t>
      </w:r>
    </w:p>
    <w:p w14:paraId="17B10621" w14:textId="77777777" w:rsidR="00947D72" w:rsidRPr="00BD1DA7" w:rsidRDefault="00000000">
      <w:pPr>
        <w:rPr>
          <w:lang w:val="ro-RO"/>
        </w:rPr>
      </w:pPr>
      <w:r>
        <w:rPr>
          <w:lang w:val="ro-RO"/>
        </w:rPr>
        <w:t>Un canon oficial poate fi construit nu numai prin eliminarea unor autori, ci și prin recuperarea selectivă a altora. Un regim poate păstra un poet, dar îi poate simplifica biografia, accentua versurile compatibile cu narațiunea dominantă și reduce la tăcere contradicțiile. În acest sens, instrumentalizarea este diferită de cenzura propriu-zisă: opera rămâne prezentă, însă sensul ei public este rearanjat de instituții, manuale, comemorări și discursuri oficiale.</w:t>
      </w:r>
    </w:p>
    <w:p w14:paraId="7D44D51C" w14:textId="77777777" w:rsidR="00947D72" w:rsidRPr="00BD1DA7" w:rsidRDefault="00000000">
      <w:pPr>
        <w:rPr>
          <w:lang w:val="ro-RO"/>
        </w:rPr>
      </w:pPr>
      <w:r>
        <w:rPr>
          <w:lang w:val="ro-RO"/>
        </w:rPr>
        <w:t>Această observație este importantă și pentru perioada post-totalitară. Înlocuirea unei interpretări oficiale cu alta nu produce automat adevăr istoric. O cultură matură trebuie să poată păstra simultan meritele estetice, contextul biografic și criticile morale, fără a transforma autorul nici în sfânt, nici într-o etichetă infamantă.</w:t>
      </w:r>
    </w:p>
    <w:p w14:paraId="54B08B0E" w14:textId="77777777" w:rsidR="00947D72" w:rsidRPr="00BD1DA7" w:rsidRDefault="00000000">
      <w:pPr>
        <w:pStyle w:val="Heading2"/>
        <w:rPr>
          <w:lang w:val="ro-RO"/>
        </w:rPr>
      </w:pPr>
      <w:r>
        <w:rPr>
          <w:lang w:val="ro-RO"/>
        </w:rPr>
        <w:t>9.2 Opera și autorul: două judecăți care nu trebuie confundate</w:t>
      </w:r>
    </w:p>
    <w:p w14:paraId="13D389E8" w14:textId="77777777" w:rsidR="00947D72" w:rsidRPr="00BD1DA7" w:rsidRDefault="00000000">
      <w:pPr>
        <w:rPr>
          <w:lang w:val="ro-RO"/>
        </w:rPr>
      </w:pPr>
      <w:r>
        <w:rPr>
          <w:lang w:val="ro-RO"/>
        </w:rPr>
        <w:t>Valoarea estetică a unei poezii nu dovedește perfecțiunea morală a poetului, după cum greșelile politice sau morale ale autorului nu anulează automat calitățile formale, lingvistice ori culturale ale operei. A citi nu înseamnă a aproba; a studia nu înseamnă a absolvi. Separarea analitică a operei de autor nu cere ignorarea biografiei, ci refuză reducerea întregii opere la verdictul moral asupra persoanei.</w:t>
      </w:r>
    </w:p>
    <w:p w14:paraId="355E3963" w14:textId="77777777" w:rsidR="00947D72" w:rsidRPr="00BD1DA7" w:rsidRDefault="00000000">
      <w:pPr>
        <w:rPr>
          <w:lang w:val="ro-RO"/>
        </w:rPr>
      </w:pPr>
      <w:r>
        <w:rPr>
          <w:lang w:val="ro-RO"/>
        </w:rPr>
        <w:t>Pentru educație și patrimoniu, alternativa la idealizare nu trebuie să fie dispariția. Textele controversate pot fi publicate, predate și comentate critic. Contextul - istoric, ideologic și biografic - permite cititorului să înțeleagă atât frumusețea sau importanța unei opere, cât și limitele ori contradicțiile celui care a creat-o.</w:t>
      </w:r>
    </w:p>
    <w:p w14:paraId="7ACC55F7" w14:textId="77777777" w:rsidR="00947D72" w:rsidRPr="00BD1DA7" w:rsidRDefault="00000000">
      <w:pPr>
        <w:pStyle w:val="Heading2"/>
        <w:rPr>
          <w:lang w:val="ro-RO"/>
        </w:rPr>
      </w:pPr>
      <w:r>
        <w:rPr>
          <w:lang w:val="ro-RO"/>
        </w:rPr>
        <w:lastRenderedPageBreak/>
        <w:t>9.3 Monumentul: memorie, onoare și contextualizare</w:t>
      </w:r>
    </w:p>
    <w:p w14:paraId="0C0ADE1E" w14:textId="77777777" w:rsidR="00947D72" w:rsidRPr="00BD1DA7" w:rsidRDefault="00000000">
      <w:pPr>
        <w:rPr>
          <w:lang w:val="ro-RO"/>
        </w:rPr>
      </w:pPr>
      <w:r>
        <w:rPr>
          <w:lang w:val="ro-RO"/>
        </w:rPr>
        <w:t>O carte într-o bibliotecă și o statuie într-o piață publică nu au aceeași funcție. Biblioteca păstrează accesul la operă; monumentul poate exprima și onoare publică. De aceea, controversele privind statuile nu pot fi rezolvate prin aceeași regulă aplicată tuturor cazurilor.</w:t>
      </w:r>
    </w:p>
    <w:p w14:paraId="17F7E244" w14:textId="77777777" w:rsidR="00947D72" w:rsidRPr="00BD1DA7" w:rsidRDefault="00000000">
      <w:pPr>
        <w:rPr>
          <w:lang w:val="ro-RO"/>
        </w:rPr>
      </w:pPr>
      <w:r>
        <w:rPr>
          <w:lang w:val="ro-RO"/>
        </w:rPr>
        <w:t>Între glorificare necritică și demolare există soluții intermediare: plăci explicative, completarea informației istorice, reinterpretarea spațiului, relocarea într-un muzeu sau păstrarea monumentului ca document al epocii. Contextualizarea poate transforma un simbol simplificat într-un obiect de educație. Distrugerea fizică este ireversibilă și poate elimina chiar urmele prin care societatea își înțelege propriile conflicte de memorie.</w:t>
      </w:r>
    </w:p>
    <w:p w14:paraId="1BB01B7A" w14:textId="77777777" w:rsidR="00947D72" w:rsidRPr="00BD1DA7" w:rsidRDefault="00000000">
      <w:pPr>
        <w:pStyle w:val="Heading2"/>
        <w:rPr>
          <w:lang w:val="ro-RO"/>
        </w:rPr>
      </w:pPr>
      <w:r>
        <w:rPr>
          <w:lang w:val="ro-RO"/>
        </w:rPr>
        <w:t>9.4 Cancel Culture: termen disputat, mecanisme reale</w:t>
      </w:r>
    </w:p>
    <w:p w14:paraId="4E1AE9D1" w14:textId="77777777" w:rsidR="00947D72" w:rsidRPr="00BD1DA7" w:rsidRDefault="00000000">
      <w:pPr>
        <w:rPr>
          <w:lang w:val="ro-RO"/>
        </w:rPr>
      </w:pPr>
      <w:r>
        <w:rPr>
          <w:lang w:val="ro-RO"/>
        </w:rPr>
        <w:t>„Cancel Culture” nu are o definiție juridică unică și este folosit polemic în sensuri foarte diferite. Literatura de specialitate îl tratează, între altele, ca pe un ansamblu de sancțiuni reputaționale și sociale aplicate public persoanelor sau instituțiilor percepute ca încălcând norme morale ori politice. Pippa Norris arată că dezbaterea trebuie desprinsă atât de negarea fenomenului, cât și de prezentarea lui ca explicație totală a limitării libertății de exprimare. [S24]</w:t>
      </w:r>
    </w:p>
    <w:p w14:paraId="7988D03D" w14:textId="77777777" w:rsidR="00947D72" w:rsidRPr="00BD1DA7" w:rsidRDefault="00000000">
      <w:pPr>
        <w:rPr>
          <w:lang w:val="ro-RO"/>
        </w:rPr>
      </w:pPr>
      <w:r>
        <w:rPr>
          <w:lang w:val="ro-RO"/>
        </w:rPr>
        <w:t>Într-o democrație, critica, protestul, refuzul de a cumpăra o carte sau decizia unei organizații de a nu invita un vorbitor sunt, în principiu, exerciții ale libertății celorlalți. Termenul devine analitic relevant atunci când reacția colectivă produce costuri disproporționate - pierderea accesului la platforme, excludere profesională, campanii persistente de hărțuire sau o teamă generalizată de a aborda anumite teme - și când mecanismul nu oferă criterii, proporționalitate sau posibilitate reală de răspuns.</w:t>
      </w:r>
    </w:p>
    <w:p>
      <w:pPr>
        <w:rPr>
          <w:lang w:val="ro-RO"/>
        </w:rPr>
      </w:pPr>
      <w:r>
        <w:rPr>
          <w:rFonts w:eastAsia="Carlito"/>
          <w:color w:val="20262B"/>
          <w:lang w:val="ro-RO"/>
        </w:rPr>
        <w:t xml:space="preserve">O precizare de onestitate metodologică este necesară aici: spre deosebire de restul documentului, această secțiune se sprijină aproape exclusiv pe literatură internațională. Pentru România, sancțiunea reputațională digitală nu beneficiază încă de o cazuistică documentată sistematic, iar disputele autohtone de memorie publică — redenumirea străzilor, soarta monumentelor și a simbolurilor regimurilor trecute — sunt tratate în §5.1 și §9.3 ca politici ale memoriei, nu ca „anulare”. Concluziile capitolului rămân, prin urmare, la nivelul mecanismelor, nu al verdictelor despre cazuri românești concrete.</w:t>
      </w:r>
    </w:p>
    <w:p w14:paraId="10A9A1C9" w14:textId="77777777" w:rsidR="00947D72" w:rsidRPr="00BD1DA7" w:rsidRDefault="00000000">
      <w:pPr>
        <w:pStyle w:val="Heading2"/>
        <w:rPr>
          <w:lang w:val="ro-RO"/>
        </w:rPr>
      </w:pPr>
      <w:r>
        <w:rPr>
          <w:lang w:val="ro-RO"/>
        </w:rPr>
        <w:t>9.5 Deplatformarea: efect asupra vizibilității, nu doar asupra dreptului de a publica</w:t>
      </w:r>
    </w:p>
    <w:p w14:paraId="56B0459B" w14:textId="77777777" w:rsidR="00947D72" w:rsidRPr="00BD1DA7" w:rsidRDefault="00000000">
      <w:pPr>
        <w:rPr>
          <w:lang w:val="ro-RO"/>
        </w:rPr>
      </w:pPr>
      <w:r>
        <w:rPr>
          <w:lang w:val="ro-RO"/>
        </w:rPr>
        <w:t>Deplatformarea este distinctă atât de critica publică, cât și de interdicția de stat. Cercetări recente arată că eliminarea unor influenceri de pe platforme majore poate reduce semnificativ atenția online de care aceștia beneficiază, inclusiv dincolo de platforma de origine. Acest rezultat demonstrează puterea infrastructurii de distribuție asupra vizibilității, dar nu stabilește singur dacă o anumită deplatformare este legitimă sau ilegitimă; evaluarea depinde de regulile încălcate, prejudiciul urmărit, procedură și posibilitatea de contestare. [S25]</w:t>
      </w:r>
    </w:p>
    <w:p w14:paraId="436B1DE1" w14:textId="77777777" w:rsidR="00947D72" w:rsidRPr="00BD1DA7" w:rsidRDefault="00000000">
      <w:pPr>
        <w:rPr>
          <w:lang w:val="ro-RO"/>
        </w:rPr>
      </w:pPr>
      <w:r>
        <w:rPr>
          <w:lang w:val="ro-RO"/>
        </w:rPr>
        <w:t>Această distincție este esențială pentru teza documentului: în epoca digitală, libertatea formală de a publica poate coexista cu pierderea capacității practice de a ajunge la public. Totuși, a numi orice reducere de audiență „cenzură” ar dilua conceptul și ar ignora dreptul platformelor și al comunităților de a aplica reguli rezonabile împotriva hărțuirii, amenințărilor sau altor forme de abuz.</w:t>
      </w:r>
    </w:p>
    <w:p w14:paraId="7F662105" w14:textId="77777777" w:rsidR="00947D72" w:rsidRPr="00BD1DA7" w:rsidRDefault="00000000">
      <w:pPr>
        <w:pStyle w:val="Heading2"/>
        <w:rPr>
          <w:lang w:val="ro-RO"/>
        </w:rPr>
      </w:pPr>
      <w:r>
        <w:rPr>
          <w:lang w:val="ro-RO"/>
        </w:rPr>
        <w:t>9.6 Hărțuire, presiune și autocenzură</w:t>
      </w:r>
    </w:p>
    <w:p w14:paraId="0C0DA652" w14:textId="77777777" w:rsidR="00947D72" w:rsidRPr="00BD1DA7" w:rsidRDefault="00000000">
      <w:pPr>
        <w:rPr>
          <w:lang w:val="ro-RO"/>
        </w:rPr>
      </w:pPr>
      <w:r>
        <w:rPr>
          <w:lang w:val="ro-RO"/>
        </w:rPr>
        <w:t>UNESCO tratează libertatea artistică drept o componentă a libertății de exprimare și semnalează că artiștii se pot confrunta cu cenzură, intimidare, hărțuire digitală, pierderea veniturilor și presiuni care conduc la autocenzură. Problema nu este exclusiv „de dreapta” sau „de stânga” și nici nu aparține unei singure regiuni: mecanismele de intimidare pot veni de la stat, grupuri politice, comunități online, organizații religioase, angajatori sau platforme. [S26]</w:t>
      </w:r>
    </w:p>
    <w:p w14:paraId="02B241AE" w14:textId="77777777" w:rsidR="00947D72" w:rsidRPr="00BD1DA7" w:rsidRDefault="00000000">
      <w:pPr>
        <w:rPr>
          <w:lang w:val="ro-RO"/>
        </w:rPr>
      </w:pPr>
      <w:r>
        <w:rPr>
          <w:lang w:val="ro-RO"/>
        </w:rPr>
        <w:t>În această perspectivă, fenomenul global relevant nu este o singură ideologie numită Cancel Culture, ci creșterea puterii sancțiunii reputaționale într-un spațiu digital în care reacțiile se agregă rapid, sunt arhivate persistent și pot influența angajarea, finanțarea și accesul la audiență. Această putere poate servi responsabilizării publice, dar poate deveni și mecanism de intimidare dacă proporționalitatea dispare.</w:t>
      </w:r>
    </w:p>
    <w:p w14:paraId="0B8E51EF" w14:textId="77777777" w:rsidR="00947D72" w:rsidRPr="00BD1DA7" w:rsidRDefault="00000000">
      <w:pPr>
        <w:pStyle w:val="Heading2"/>
        <w:rPr>
          <w:lang w:val="ro-RO"/>
        </w:rPr>
      </w:pPr>
      <w:r>
        <w:rPr>
          <w:lang w:val="ro-RO"/>
        </w:rPr>
        <w:t>9.7 Șapte întrebări pentru a diferenția responsabilizarea de anulare</w:t>
      </w:r>
    </w:p>
    <w:p w14:paraId="6DE9E742" w14:textId="77777777" w:rsidR="00947D72" w:rsidRPr="00BD1DA7" w:rsidRDefault="00000000">
      <w:pPr>
        <w:rPr>
          <w:lang w:val="ro-RO"/>
        </w:rPr>
      </w:pPr>
      <w:r>
        <w:rPr>
          <w:lang w:val="ro-RO"/>
        </w:rPr>
        <w:t>1. Ce fapt sau mesaj este contestat și cât de bine este stabilit?</w:t>
      </w:r>
    </w:p>
    <w:p w14:paraId="4159D0F8" w14:textId="77777777" w:rsidR="00947D72" w:rsidRPr="00BD1DA7" w:rsidRDefault="00000000">
      <w:pPr>
        <w:rPr>
          <w:lang w:val="ro-RO"/>
        </w:rPr>
      </w:pPr>
      <w:r>
        <w:rPr>
          <w:lang w:val="ro-RO"/>
        </w:rPr>
        <w:lastRenderedPageBreak/>
        <w:t>2. Reacția este critică argumentată, boicot voluntar, sancțiune instituțională sau hărțuire?</w:t>
      </w:r>
    </w:p>
    <w:p w14:paraId="2DB28A58" w14:textId="77777777" w:rsidR="00947D72" w:rsidRPr="00BD1DA7" w:rsidRDefault="00000000">
      <w:pPr>
        <w:rPr>
          <w:lang w:val="ro-RO"/>
        </w:rPr>
      </w:pPr>
      <w:r>
        <w:rPr>
          <w:lang w:val="ro-RO"/>
        </w:rPr>
        <w:t>3. Există o relație proporțională între conduită și consecință?</w:t>
      </w:r>
    </w:p>
    <w:p w14:paraId="35721A0D" w14:textId="77777777" w:rsidR="00947D72" w:rsidRPr="00BD1DA7" w:rsidRDefault="00000000">
      <w:pPr>
        <w:rPr>
          <w:lang w:val="ro-RO"/>
        </w:rPr>
      </w:pPr>
      <w:r>
        <w:rPr>
          <w:lang w:val="ro-RO"/>
        </w:rPr>
        <w:t>4. Persoana are posibilitatea reală de a răspunde, corecta sau contesta?</w:t>
      </w:r>
    </w:p>
    <w:p w14:paraId="755E3485" w14:textId="77777777" w:rsidR="00947D72" w:rsidRPr="00BD1DA7" w:rsidRDefault="00000000">
      <w:pPr>
        <w:rPr>
          <w:lang w:val="ro-RO"/>
        </w:rPr>
      </w:pPr>
      <w:r>
        <w:rPr>
          <w:lang w:val="ro-RO"/>
        </w:rPr>
        <w:t>5. Este vizată o opinie legală ori o conduită care produce prejudicii concrete?</w:t>
      </w:r>
    </w:p>
    <w:p w14:paraId="3A11BD51" w14:textId="77777777" w:rsidR="00947D72" w:rsidRPr="00BD1DA7" w:rsidRDefault="00000000">
      <w:pPr>
        <w:rPr>
          <w:lang w:val="ro-RO"/>
        </w:rPr>
      </w:pPr>
      <w:r>
        <w:rPr>
          <w:lang w:val="ro-RO"/>
        </w:rPr>
        <w:t>6. Se separă evaluarea operei de evaluarea morală a autorului?</w:t>
      </w:r>
    </w:p>
    <w:p w14:paraId="55988E96" w14:textId="77777777" w:rsidR="00947D72" w:rsidRPr="00BD1DA7" w:rsidRDefault="00000000">
      <w:pPr>
        <w:rPr>
          <w:lang w:val="ro-RO"/>
        </w:rPr>
      </w:pPr>
      <w:r>
        <w:rPr>
          <w:lang w:val="ro-RO"/>
        </w:rPr>
        <w:t>7. Rezultatul păstrează memoria și contextul sau încearcă să șteargă urmele controversate?</w:t>
      </w:r>
    </w:p>
    <w:tbl>
      <w:tblPr>
        <w:tblW w:w="0" w:type="auto"/>
        <w:tblLook w:val="04A0" w:firstRow="1" w:lastRow="0" w:firstColumn="1" w:lastColumn="0" w:noHBand="0" w:noVBand="1"/>
      </w:tblPr>
      <w:tblGrid>
        <w:gridCol w:w="9878"/>
      </w:tblGrid>
      <w:tr w:rsidR="00947D72" w:rsidRPr="00BD1DA7" w14:paraId="7F4096D0" w14:textId="77777777">
        <w:tc>
          <w:tcPr>
            <w:tcW w:w="9878" w:type="dxa"/>
            <w:shd w:val="clear" w:color="auto" w:fill="F2F6FA"/>
            <w:tcMar>
              <w:top w:w="130" w:type="dxa"/>
              <w:left w:w="160" w:type="dxa"/>
              <w:bottom w:w="130" w:type="dxa"/>
              <w:right w:w="160" w:type="dxa"/>
            </w:tcMar>
          </w:tcPr>
          <w:p w14:paraId="58A2F93E" w14:textId="77777777" w:rsidR="00947D72" w:rsidRPr="00BD1DA7" w:rsidRDefault="00000000">
            <w:pPr>
              <w:spacing w:after="0"/>
              <w:rPr>
                <w:lang w:val="ro-RO"/>
              </w:rPr>
            </w:pPr>
            <w:r>
              <w:rPr>
                <w:b/>
                <w:lang w:val="ro-RO"/>
              </w:rPr>
              <w:t xml:space="preserve">Principiu cultural / </w:t>
            </w:r>
            <w:r>
              <w:rPr>
                <w:lang w:val="ro-RO"/>
              </w:rPr>
              <w:t>O societate pluralistă nu este obligată să celebreze orice personaj, dar ar trebui să fie prudentă înainte de a transforma dezaprobarea morală în ștergere culturală. Contextualizarea păstrează simultan memoria, critica și libertatea de judecată a generațiilor viitoare.</w:t>
            </w:r>
          </w:p>
        </w:tc>
      </w:tr>
    </w:tbl>
    <w:p w14:paraId="6BE69ADA" w14:textId="77777777" w:rsidR="00947D72" w:rsidRPr="00BD1DA7" w:rsidRDefault="00000000">
      <w:pPr>
        <w:pStyle w:val="Heading1"/>
        <w:spacing w:before="220" w:after="100"/>
        <w:rPr>
          <w:lang w:val="ro-RO"/>
        </w:rPr>
      </w:pPr>
      <w:r>
        <w:rPr>
          <w:lang w:val="ro-RO"/>
        </w:rPr>
        <w:t>10. Paradoxul erei digitale: a exista, a fi găsit, a fi crezut</w:t>
      </w:r>
    </w:p>
    <w:p w14:paraId="08CF8F9D" w14:textId="77777777" w:rsidR="00947D72" w:rsidRPr="00BD1DA7" w:rsidRDefault="00000000">
      <w:pPr>
        <w:rPr>
          <w:lang w:val="ro-RO"/>
        </w:rPr>
      </w:pPr>
      <w:r>
        <w:rPr>
          <w:rFonts w:eastAsia="Carlito"/>
          <w:color w:val="20262B"/>
          <w:lang w:val="ro-RO"/>
        </w:rPr>
        <w:t>Internetul a redus costul publicării și a făcut distrugerea completă a unei informații mai dificilă, dar nu imposibilă. Copiile distribuite, arhivele și republicarea cresc reziliența unui text; în același timp, ștergerea de pe o platformă dominantă, dispariția din indexare sau îngroparea în rezultate pot reduce drastic accesul real. Afirmația că „cenzura perfectă este tehnic imposibilă” trebuie, prin urmare, reformulată: redundanța digitală face suprimarea totală mai dificilă, dar nu garantează vizibilitatea.</w:t>
      </w:r>
    </w:p>
    <w:p w14:paraId="1DC53B9A" w14:textId="77777777" w:rsidR="00947D72" w:rsidRPr="00BD1DA7" w:rsidRDefault="00000000">
      <w:pPr>
        <w:pStyle w:val="Heading2"/>
        <w:spacing w:before="160" w:after="100"/>
        <w:rPr>
          <w:lang w:val="ro-RO"/>
        </w:rPr>
      </w:pPr>
      <w:r>
        <w:rPr>
          <w:lang w:val="ro-RO"/>
        </w:rPr>
        <w:t>10.1 De la penuria informației la penuria atenției</w:t>
      </w:r>
    </w:p>
    <w:p w14:paraId="328C33F3" w14:textId="77777777" w:rsidR="00947D72" w:rsidRPr="00BD1DA7" w:rsidRDefault="00000000">
      <w:pPr>
        <w:rPr>
          <w:lang w:val="ro-RO"/>
        </w:rPr>
      </w:pPr>
      <w:r>
        <w:rPr>
          <w:rFonts w:eastAsia="Carlito"/>
          <w:color w:val="20262B"/>
          <w:lang w:val="ro-RO"/>
        </w:rPr>
        <w:t>În regimurile de monopol informațional, principala problemă era accesul la informație. În ecosistemul actual, problema este adesea selecția dintr-un volum uriaș de conținut. Puterea se mută parțial de la poarta tipografiei la arhitectura recomandării: ce intră în feed, ce este promovat, ce este etichetat, ce este demonetizat și ce este asociat cu o comunitate de interes.</w:t>
      </w:r>
    </w:p>
    <w:p w14:paraId="47B1C32C" w14:textId="77777777" w:rsidR="00947D72" w:rsidRPr="00BD1DA7" w:rsidRDefault="00000000">
      <w:pPr>
        <w:rPr>
          <w:lang w:val="ro-RO"/>
        </w:rPr>
      </w:pPr>
      <w:r>
        <w:rPr>
          <w:rFonts w:eastAsia="Carlito"/>
          <w:color w:val="20262B"/>
          <w:lang w:val="ro-RO"/>
        </w:rPr>
        <w:t>Această schimbare nu înseamnă că „adevărul este egal cu minciuna” prin definiție. Instituțiile de cunoaștere, jurnalismul profesionist, arhivele și comunitățile științifice continuă să ofere criterii de verificare. Dar competiția pentru atenție poate recompensa conținutul emoțional, polarizant sau foarte ușor de distribuit, iar utilizatorii pot trăi în medii informaționale divergente.</w:t>
      </w:r>
    </w:p>
    <w:p>
      <w:pPr>
        <w:rPr>
          <w:lang w:val="ro-RO"/>
        </w:rPr>
      </w:pPr>
      <w:r>
        <w:rPr>
          <w:rFonts w:eastAsia="Carlito"/>
          <w:color w:val="20262B"/>
          <w:lang w:val="ro-RO"/>
        </w:rPr>
        <w:t xml:space="preserve">Cercetarea empirică susține această asimetrie: mesajele care conțin limbaj moral-emoțional se propagă semnificativ mai departe în rețelele sociale decât cele neutre, fiecare asemenea termen crescând probabilitatea redistribuirii. Conflictul nu este un accident al arhitecturii de recomandare; este combustibilul pe care ea îl premiază.</w:t>
      </w:r>
      <w:r>
        <w:rPr>
          <w:rFonts w:eastAsia="Carlito"/>
          <w:color w:val="2C6975"/>
          <w:sz w:val="16"/>
          <w:vertAlign w:val="superscript"/>
          <w:lang w:val="ro-RO"/>
        </w:rPr>
        <w:t xml:space="preserve"> [S28]</w:t>
      </w:r>
    </w:p>
    <w:p>
      <w:pPr>
        <w:rPr>
          <w:lang w:val="ro-RO"/>
        </w:rPr>
      </w:pPr>
      <w:r>
        <w:rPr>
          <w:rFonts w:eastAsia="Carlito"/>
          <w:color w:val="20262B"/>
          <w:lang w:val="ro-RO"/>
        </w:rPr>
        <w:t xml:space="preserve">De aici o analogie de funcție — nu de regim — cu spectacolele publice ale antichității: arena digitală transformă dezbaterea în confruntare privită de un public care nu participă, ci consumă. Ca și în amfiteatru, atenția colectivă este captată prin conflict, iar organizatorul spectacolului — astăzi, infrastructura de distribuție — profită de pe urma intensității lui, nu a adevărului lui. Consecința structurală este un impozit tăcut pe discursul calm: mesajul echilibrat, care nu oferă publicului nici învingător, nici învins, primește sistematic mai puțină vizibilitate decât valoarea lui informațională. Cine refuză să lupte în arenă nu este interzis; este doar neprogramat.</w:t>
      </w:r>
    </w:p>
    <w:p w14:paraId="09995D48" w14:textId="77777777" w:rsidR="00947D72" w:rsidRPr="00BD1DA7" w:rsidRDefault="00000000">
      <w:pPr>
        <w:pStyle w:val="Heading2"/>
        <w:spacing w:before="160" w:after="100"/>
        <w:rPr>
          <w:lang w:val="ro-RO"/>
        </w:rPr>
      </w:pPr>
      <w:r>
        <w:rPr>
          <w:lang w:val="ro-RO"/>
        </w:rPr>
        <w:t>10.2 Puterea algoritmică nu este un singur centru</w:t>
      </w:r>
    </w:p>
    <w:p w14:paraId="5B9C5504" w14:textId="77777777" w:rsidR="00947D72" w:rsidRPr="00BD1DA7" w:rsidRDefault="00000000">
      <w:pPr>
        <w:rPr>
          <w:lang w:val="ro-RO"/>
        </w:rPr>
      </w:pPr>
      <w:r>
        <w:rPr>
          <w:rFonts w:eastAsia="Carlito"/>
          <w:color w:val="20262B"/>
          <w:lang w:val="ro-RO"/>
        </w:rPr>
        <w:t>În locul unui minister al cenzurii există mai multe centre de putere: platforme, agenții de publicitate, creatori, partide, instituții de securitate, autorități de reglementare, presă, influenceri și utilizatori. Fragmentarea poate proteja pluralismul - niciun actor nu controlează totul -, dar poate face responsabilitatea greu de atribuit. Cine a redus vizibilitatea? O regulă? Un model automat? O campanie coordonată? Comportamentul publicului? Aceste întrebări cer date, nu analogii istorice.</w:t>
      </w:r>
    </w:p>
    <w:tbl>
      <w:tblPr>
        <w:tblW w:w="0" w:type="auto"/>
        <w:jc w:val="center"/>
        <w:tblBorders>
          <w:top w:val="single" w:sz="8" w:space="0" w:color="2C6975"/>
          <w:left w:val="single" w:sz="8" w:space="0" w:color="2C6975"/>
          <w:bottom w:val="single" w:sz="8" w:space="0" w:color="2C6975"/>
          <w:right w:val="single" w:sz="8" w:space="0" w:color="2C6975"/>
          <w:insideH w:val="single" w:sz="8" w:space="0" w:color="2C6975"/>
          <w:insideV w:val="single" w:sz="8" w:space="0" w:color="2C6975"/>
        </w:tblBorders>
        <w:tblLook w:val="04A0" w:firstRow="1" w:lastRow="0" w:firstColumn="1" w:lastColumn="0" w:noHBand="0" w:noVBand="1"/>
      </w:tblPr>
      <w:tblGrid>
        <w:gridCol w:w="9858"/>
      </w:tblGrid>
      <w:tr w:rsidR="00947D72" w:rsidRPr="00BD1DA7" w14:paraId="002B53B3" w14:textId="77777777">
        <w:trPr>
          <w:cantSplit/>
          <w:tblHeader/>
          <w:jc w:val="center"/>
        </w:trPr>
        <w:tc>
          <w:tcPr>
            <w:tcW w:w="9878" w:type="dxa"/>
            <w:shd w:val="clear" w:color="auto" w:fill="D9E2F3"/>
            <w:tcMar>
              <w:top w:w="90" w:type="dxa"/>
              <w:left w:w="110" w:type="dxa"/>
              <w:bottom w:w="90" w:type="dxa"/>
              <w:right w:w="110" w:type="dxa"/>
            </w:tcMar>
            <w:vAlign w:val="center"/>
          </w:tcPr>
          <w:p w14:paraId="17766DB2" w14:textId="77777777" w:rsidR="00947D72" w:rsidRPr="00BD1DA7" w:rsidRDefault="00000000">
            <w:pPr>
              <w:spacing w:after="0"/>
              <w:rPr>
                <w:lang w:val="ro-RO"/>
              </w:rPr>
            </w:pPr>
            <w:r>
              <w:rPr>
                <w:rFonts w:eastAsia="Carlito"/>
                <w:b/>
                <w:color w:val="2C6975"/>
                <w:sz w:val="19"/>
                <w:lang w:val="ro-RO"/>
              </w:rPr>
              <w:t>Reformularea paradoxului</w:t>
            </w:r>
          </w:p>
          <w:p w14:paraId="355B0714" w14:textId="77777777" w:rsidR="00947D72" w:rsidRPr="00BD1DA7" w:rsidRDefault="00000000">
            <w:pPr>
              <w:spacing w:after="0" w:line="252" w:lineRule="auto"/>
              <w:rPr>
                <w:lang w:val="ro-RO"/>
              </w:rPr>
            </w:pPr>
            <w:r>
              <w:rPr>
                <w:rFonts w:eastAsia="Carlito"/>
                <w:b/>
                <w:color w:val="20262B"/>
                <w:sz w:val="19"/>
                <w:lang w:val="ro-RO"/>
              </w:rPr>
              <w:t>Adevărul digital poate supraviețui material și totuși pierde bătălia pentru atenție. Libertatea de publicare este necesară, dar nu este identică cu accesul echitabil la vizibilitate.</w:t>
            </w:r>
          </w:p>
        </w:tc>
      </w:tr>
    </w:tbl>
    <w:p w14:paraId="1936ADCE" w14:textId="77777777" w:rsidR="00947D72" w:rsidRPr="00BD1DA7" w:rsidRDefault="00947D72">
      <w:pPr>
        <w:spacing w:after="20"/>
        <w:rPr>
          <w:lang w:val="ro-RO"/>
        </w:rPr>
      </w:pPr>
    </w:p>
    <w:p w14:paraId="61B67F04" w14:textId="77777777" w:rsidR="00947D72" w:rsidRPr="00BD1DA7" w:rsidRDefault="00000000">
      <w:pPr>
        <w:pStyle w:val="Heading1"/>
        <w:spacing w:before="220" w:after="100"/>
        <w:rPr>
          <w:lang w:val="ro-RO"/>
        </w:rPr>
      </w:pPr>
      <w:r>
        <w:rPr>
          <w:lang w:val="ro-RO"/>
        </w:rPr>
        <w:t>11. Matrice comparativă: de la coerciție la controlul vizibilității</w:t>
      </w:r>
    </w:p>
    <w:tbl>
      <w:tblPr>
        <w:tblW w:w="0" w:type="auto"/>
        <w:jc w:val="center"/>
        <w:tblBorders>
          <w:top w:val="single" w:sz="6" w:space="0" w:color="CBD5DB"/>
          <w:left w:val="single" w:sz="6" w:space="0" w:color="CBD5DB"/>
          <w:bottom w:val="single" w:sz="6" w:space="0" w:color="CBD5DB"/>
          <w:right w:val="single" w:sz="6" w:space="0" w:color="CBD5DB"/>
          <w:insideH w:val="single" w:sz="6" w:space="0" w:color="CBD5DB"/>
          <w:insideV w:val="single" w:sz="6" w:space="0" w:color="CBD5DB"/>
        </w:tblBorders>
        <w:tblLayout w:type="fixed"/>
        <w:tblLook w:val="04A0" w:firstRow="1" w:lastRow="0" w:firstColumn="1" w:lastColumn="0" w:noHBand="0" w:noVBand="1"/>
      </w:tblPr>
      <w:tblGrid>
        <w:gridCol w:w="2232"/>
        <w:gridCol w:w="1976"/>
        <w:gridCol w:w="2088"/>
        <w:gridCol w:w="2880"/>
        <w:gridCol w:w="2232"/>
      </w:tblGrid>
      <w:tr w:rsidR="00947D72" w:rsidRPr="00BD1DA7" w14:paraId="1CF99EB5" w14:textId="77777777">
        <w:trPr>
          <w:cantSplit/>
          <w:tblHeader/>
          <w:jc w:val="center"/>
        </w:trPr>
        <w:tc>
          <w:tcPr>
            <w:tcW w:w="2232" w:type="dxa"/>
            <w:shd w:val="clear" w:color="auto" w:fill="D9E2F3"/>
            <w:tcMar>
              <w:top w:w="90" w:type="dxa"/>
              <w:left w:w="110" w:type="dxa"/>
              <w:bottom w:w="90" w:type="dxa"/>
              <w:right w:w="110" w:type="dxa"/>
            </w:tcMar>
            <w:vAlign w:val="center"/>
          </w:tcPr>
          <w:p w14:paraId="3133BA17" w14:textId="77777777" w:rsidR="00947D72" w:rsidRPr="00BD1DA7" w:rsidRDefault="00000000">
            <w:pPr>
              <w:spacing w:after="0"/>
              <w:jc w:val="center"/>
              <w:rPr>
                <w:lang w:val="ro-RO"/>
              </w:rPr>
            </w:pPr>
            <w:r>
              <w:rPr>
                <w:rFonts w:eastAsia="Carlito"/>
                <w:b/>
                <w:color w:val="FFFFFF"/>
                <w:sz w:val="19"/>
                <w:lang w:val="ro-RO"/>
              </w:rPr>
              <w:t>Tip de control</w:t>
            </w:r>
          </w:p>
        </w:tc>
        <w:tc>
          <w:tcPr>
            <w:tcW w:w="1152" w:type="dxa"/>
            <w:shd w:val="clear" w:color="auto" w:fill="D9E2F3"/>
            <w:tcMar>
              <w:top w:w="90" w:type="dxa"/>
              <w:left w:w="110" w:type="dxa"/>
              <w:bottom w:w="90" w:type="dxa"/>
              <w:right w:w="110" w:type="dxa"/>
            </w:tcMar>
            <w:vAlign w:val="center"/>
          </w:tcPr>
          <w:p w14:paraId="2876D727" w14:textId="77777777" w:rsidR="00947D72" w:rsidRPr="00BD1DA7" w:rsidRDefault="00000000">
            <w:pPr>
              <w:spacing w:after="0"/>
              <w:jc w:val="center"/>
              <w:rPr>
                <w:lang w:val="ro-RO"/>
              </w:rPr>
            </w:pPr>
            <w:r>
              <w:rPr>
                <w:rFonts w:eastAsia="Carlito"/>
                <w:b/>
                <w:color w:val="FFFFFF"/>
                <w:sz w:val="19"/>
                <w:lang w:val="ro-RO"/>
              </w:rPr>
              <w:t>Vizibil?</w:t>
            </w:r>
          </w:p>
        </w:tc>
        <w:tc>
          <w:tcPr>
            <w:tcW w:w="2088" w:type="dxa"/>
            <w:shd w:val="clear" w:color="auto" w:fill="D9E2F3"/>
            <w:tcMar>
              <w:top w:w="90" w:type="dxa"/>
              <w:left w:w="110" w:type="dxa"/>
              <w:bottom w:w="90" w:type="dxa"/>
              <w:right w:w="110" w:type="dxa"/>
            </w:tcMar>
            <w:vAlign w:val="center"/>
          </w:tcPr>
          <w:p w14:paraId="7228C1FD" w14:textId="77777777" w:rsidR="00947D72" w:rsidRPr="00BD1DA7" w:rsidRDefault="00000000">
            <w:pPr>
              <w:spacing w:after="0"/>
              <w:jc w:val="center"/>
              <w:rPr>
                <w:lang w:val="ro-RO"/>
              </w:rPr>
            </w:pPr>
            <w:r>
              <w:rPr>
                <w:rFonts w:eastAsia="Carlito"/>
                <w:b/>
                <w:color w:val="FFFFFF"/>
                <w:sz w:val="19"/>
                <w:lang w:val="ro-RO"/>
              </w:rPr>
              <w:t>Actor</w:t>
            </w:r>
          </w:p>
        </w:tc>
        <w:tc>
          <w:tcPr>
            <w:tcW w:w="2880" w:type="dxa"/>
            <w:shd w:val="clear" w:color="auto" w:fill="D9E2F3"/>
            <w:tcMar>
              <w:top w:w="90" w:type="dxa"/>
              <w:left w:w="110" w:type="dxa"/>
              <w:bottom w:w="90" w:type="dxa"/>
              <w:right w:w="110" w:type="dxa"/>
            </w:tcMar>
            <w:vAlign w:val="center"/>
          </w:tcPr>
          <w:p w14:paraId="20A70A69" w14:textId="77777777" w:rsidR="00947D72" w:rsidRPr="00BD1DA7" w:rsidRDefault="00000000">
            <w:pPr>
              <w:spacing w:after="0"/>
              <w:jc w:val="center"/>
              <w:rPr>
                <w:lang w:val="ro-RO"/>
              </w:rPr>
            </w:pPr>
            <w:r>
              <w:rPr>
                <w:rFonts w:eastAsia="Carlito"/>
                <w:b/>
                <w:color w:val="FFFFFF"/>
                <w:sz w:val="19"/>
                <w:lang w:val="ro-RO"/>
              </w:rPr>
              <w:t>Cale de atac tipică</w:t>
            </w:r>
          </w:p>
        </w:tc>
        <w:tc>
          <w:tcPr>
            <w:tcW w:w="2232" w:type="dxa"/>
            <w:shd w:val="clear" w:color="auto" w:fill="D9E2F3"/>
            <w:tcMar>
              <w:top w:w="90" w:type="dxa"/>
              <w:left w:w="110" w:type="dxa"/>
              <w:bottom w:w="90" w:type="dxa"/>
              <w:right w:w="110" w:type="dxa"/>
            </w:tcMar>
            <w:vAlign w:val="center"/>
          </w:tcPr>
          <w:p w14:paraId="43472F97" w14:textId="77777777" w:rsidR="00947D72" w:rsidRPr="00BD1DA7" w:rsidRDefault="00000000">
            <w:pPr>
              <w:spacing w:after="0"/>
              <w:jc w:val="center"/>
              <w:rPr>
                <w:lang w:val="ro-RO"/>
              </w:rPr>
            </w:pPr>
            <w:r>
              <w:rPr>
                <w:rFonts w:eastAsia="Carlito"/>
                <w:b/>
                <w:color w:val="FFFFFF"/>
                <w:sz w:val="19"/>
                <w:lang w:val="ro-RO"/>
              </w:rPr>
              <w:t>Risc dominant</w:t>
            </w:r>
          </w:p>
        </w:tc>
      </w:tr>
      <w:tr w:rsidR="00947D72" w:rsidRPr="00BD1DA7" w14:paraId="5C38A16E" w14:textId="77777777">
        <w:trPr>
          <w:cantSplit/>
          <w:jc w:val="center"/>
        </w:trPr>
        <w:tc>
          <w:tcPr>
            <w:tcW w:w="2232" w:type="dxa"/>
            <w:tcMar>
              <w:top w:w="90" w:type="dxa"/>
              <w:left w:w="110" w:type="dxa"/>
              <w:bottom w:w="90" w:type="dxa"/>
              <w:right w:w="110" w:type="dxa"/>
            </w:tcMar>
            <w:vAlign w:val="center"/>
          </w:tcPr>
          <w:p w14:paraId="2F4A39FB" w14:textId="77777777" w:rsidR="00947D72" w:rsidRPr="00BD1DA7" w:rsidRDefault="00000000">
            <w:pPr>
              <w:spacing w:after="0" w:line="240" w:lineRule="auto"/>
              <w:rPr>
                <w:lang w:val="ro-RO"/>
              </w:rPr>
            </w:pPr>
            <w:r>
              <w:rPr>
                <w:rFonts w:eastAsia="Carlito"/>
                <w:color w:val="20262B"/>
                <w:sz w:val="19"/>
                <w:lang w:val="ro-RO"/>
              </w:rPr>
              <w:t>Violență / represiune politică</w:t>
            </w:r>
          </w:p>
        </w:tc>
        <w:tc>
          <w:tcPr>
            <w:tcW w:w="1152" w:type="dxa"/>
            <w:tcMar>
              <w:top w:w="90" w:type="dxa"/>
              <w:left w:w="110" w:type="dxa"/>
              <w:bottom w:w="90" w:type="dxa"/>
              <w:right w:w="110" w:type="dxa"/>
            </w:tcMar>
            <w:vAlign w:val="center"/>
          </w:tcPr>
          <w:p w14:paraId="4D9F1CD0" w14:textId="77777777" w:rsidR="00947D72" w:rsidRPr="00BD1DA7" w:rsidRDefault="00000000">
            <w:pPr>
              <w:spacing w:after="0" w:line="240" w:lineRule="auto"/>
              <w:rPr>
                <w:lang w:val="ro-RO"/>
              </w:rPr>
            </w:pPr>
            <w:r>
              <w:rPr>
                <w:rFonts w:eastAsia="Carlito"/>
                <w:color w:val="20262B"/>
                <w:sz w:val="19"/>
                <w:lang w:val="ro-RO"/>
              </w:rPr>
              <w:t>Da</w:t>
            </w:r>
          </w:p>
        </w:tc>
        <w:tc>
          <w:tcPr>
            <w:tcW w:w="2088" w:type="dxa"/>
            <w:tcMar>
              <w:top w:w="90" w:type="dxa"/>
              <w:left w:w="110" w:type="dxa"/>
              <w:bottom w:w="90" w:type="dxa"/>
              <w:right w:w="110" w:type="dxa"/>
            </w:tcMar>
            <w:vAlign w:val="center"/>
          </w:tcPr>
          <w:p w14:paraId="6C212E1A" w14:textId="77777777" w:rsidR="00947D72" w:rsidRPr="00BD1DA7" w:rsidRDefault="00000000">
            <w:pPr>
              <w:spacing w:after="0" w:line="240" w:lineRule="auto"/>
              <w:rPr>
                <w:lang w:val="ro-RO"/>
              </w:rPr>
            </w:pPr>
            <w:r>
              <w:rPr>
                <w:rFonts w:eastAsia="Carlito"/>
                <w:color w:val="20262B"/>
                <w:sz w:val="19"/>
                <w:lang w:val="ro-RO"/>
              </w:rPr>
              <w:t>Stat / grup violent</w:t>
            </w:r>
          </w:p>
        </w:tc>
        <w:tc>
          <w:tcPr>
            <w:tcW w:w="2880" w:type="dxa"/>
            <w:tcMar>
              <w:top w:w="90" w:type="dxa"/>
              <w:left w:w="110" w:type="dxa"/>
              <w:bottom w:w="90" w:type="dxa"/>
              <w:right w:w="110" w:type="dxa"/>
            </w:tcMar>
            <w:vAlign w:val="center"/>
          </w:tcPr>
          <w:p w14:paraId="4FF293C8" w14:textId="77777777" w:rsidR="00947D72" w:rsidRPr="00BD1DA7" w:rsidRDefault="00000000">
            <w:pPr>
              <w:spacing w:after="0" w:line="240" w:lineRule="auto"/>
              <w:rPr>
                <w:lang w:val="ro-RO"/>
              </w:rPr>
            </w:pPr>
            <w:r>
              <w:rPr>
                <w:rFonts w:eastAsia="Carlito"/>
                <w:color w:val="20262B"/>
                <w:sz w:val="19"/>
                <w:lang w:val="ro-RO"/>
              </w:rPr>
              <w:t>Slabă sau inexistentă în regim autoritar</w:t>
            </w:r>
          </w:p>
        </w:tc>
        <w:tc>
          <w:tcPr>
            <w:tcW w:w="2232" w:type="dxa"/>
            <w:tcMar>
              <w:top w:w="90" w:type="dxa"/>
              <w:left w:w="110" w:type="dxa"/>
              <w:bottom w:w="90" w:type="dxa"/>
              <w:right w:w="110" w:type="dxa"/>
            </w:tcMar>
            <w:vAlign w:val="center"/>
          </w:tcPr>
          <w:p w14:paraId="281C2EB5" w14:textId="77777777" w:rsidR="00947D72" w:rsidRPr="00BD1DA7" w:rsidRDefault="00000000">
            <w:pPr>
              <w:spacing w:after="0" w:line="240" w:lineRule="auto"/>
              <w:rPr>
                <w:lang w:val="ro-RO"/>
              </w:rPr>
            </w:pPr>
            <w:r>
              <w:rPr>
                <w:rFonts w:eastAsia="Carlito"/>
                <w:color w:val="20262B"/>
                <w:sz w:val="19"/>
                <w:lang w:val="ro-RO"/>
              </w:rPr>
              <w:t>Eliminarea persoanei și intimidare</w:t>
            </w:r>
          </w:p>
        </w:tc>
      </w:tr>
      <w:tr w:rsidR="00947D72" w:rsidRPr="00BD1DA7" w14:paraId="37ADD0E6" w14:textId="77777777">
        <w:trPr>
          <w:cantSplit/>
          <w:jc w:val="center"/>
        </w:trPr>
        <w:tc>
          <w:tcPr>
            <w:tcW w:w="2232" w:type="dxa"/>
            <w:shd w:val="clear" w:color="auto" w:fill="F5F7F8"/>
            <w:tcMar>
              <w:top w:w="90" w:type="dxa"/>
              <w:left w:w="110" w:type="dxa"/>
              <w:bottom w:w="90" w:type="dxa"/>
              <w:right w:w="110" w:type="dxa"/>
            </w:tcMar>
            <w:vAlign w:val="center"/>
          </w:tcPr>
          <w:p w14:paraId="0395E456" w14:textId="77777777" w:rsidR="00947D72" w:rsidRPr="00BD1DA7" w:rsidRDefault="00000000">
            <w:pPr>
              <w:spacing w:after="0" w:line="240" w:lineRule="auto"/>
              <w:rPr>
                <w:lang w:val="ro-RO"/>
              </w:rPr>
            </w:pPr>
            <w:r>
              <w:rPr>
                <w:rFonts w:eastAsia="Carlito"/>
                <w:color w:val="20262B"/>
                <w:sz w:val="19"/>
                <w:lang w:val="ro-RO"/>
              </w:rPr>
              <w:lastRenderedPageBreak/>
              <w:t>Cenzură prealabilă</w:t>
            </w:r>
          </w:p>
        </w:tc>
        <w:tc>
          <w:tcPr>
            <w:tcW w:w="1152" w:type="dxa"/>
            <w:shd w:val="clear" w:color="auto" w:fill="F5F7F8"/>
            <w:tcMar>
              <w:top w:w="90" w:type="dxa"/>
              <w:left w:w="110" w:type="dxa"/>
              <w:bottom w:w="90" w:type="dxa"/>
              <w:right w:w="110" w:type="dxa"/>
            </w:tcMar>
            <w:vAlign w:val="center"/>
          </w:tcPr>
          <w:p w14:paraId="286575E2" w14:textId="77777777" w:rsidR="00947D72" w:rsidRPr="00BD1DA7" w:rsidRDefault="00000000">
            <w:pPr>
              <w:spacing w:after="0" w:line="240" w:lineRule="auto"/>
              <w:rPr>
                <w:lang w:val="ro-RO"/>
              </w:rPr>
            </w:pPr>
            <w:r>
              <w:rPr>
                <w:rFonts w:eastAsia="Carlito"/>
                <w:color w:val="20262B"/>
                <w:sz w:val="19"/>
                <w:lang w:val="ro-RO"/>
              </w:rPr>
              <w:t>De regulă</w:t>
            </w:r>
          </w:p>
        </w:tc>
        <w:tc>
          <w:tcPr>
            <w:tcW w:w="2088" w:type="dxa"/>
            <w:shd w:val="clear" w:color="auto" w:fill="F5F7F8"/>
            <w:tcMar>
              <w:top w:w="90" w:type="dxa"/>
              <w:left w:w="110" w:type="dxa"/>
              <w:bottom w:w="90" w:type="dxa"/>
              <w:right w:w="110" w:type="dxa"/>
            </w:tcMar>
            <w:vAlign w:val="center"/>
          </w:tcPr>
          <w:p w14:paraId="5768333F" w14:textId="77777777" w:rsidR="00947D72" w:rsidRPr="00BD1DA7" w:rsidRDefault="00000000">
            <w:pPr>
              <w:spacing w:after="0" w:line="240" w:lineRule="auto"/>
              <w:rPr>
                <w:lang w:val="ro-RO"/>
              </w:rPr>
            </w:pPr>
            <w:r>
              <w:rPr>
                <w:rFonts w:eastAsia="Carlito"/>
                <w:color w:val="20262B"/>
                <w:sz w:val="19"/>
                <w:lang w:val="ro-RO"/>
              </w:rPr>
              <w:t>Autoritate / aparat de partid</w:t>
            </w:r>
          </w:p>
        </w:tc>
        <w:tc>
          <w:tcPr>
            <w:tcW w:w="2880" w:type="dxa"/>
            <w:shd w:val="clear" w:color="auto" w:fill="F5F7F8"/>
            <w:tcMar>
              <w:top w:w="90" w:type="dxa"/>
              <w:left w:w="110" w:type="dxa"/>
              <w:bottom w:w="90" w:type="dxa"/>
              <w:right w:w="110" w:type="dxa"/>
            </w:tcMar>
            <w:vAlign w:val="center"/>
          </w:tcPr>
          <w:p w14:paraId="5382D10D" w14:textId="77777777" w:rsidR="00947D72" w:rsidRPr="00BD1DA7" w:rsidRDefault="00000000">
            <w:pPr>
              <w:spacing w:after="0" w:line="240" w:lineRule="auto"/>
              <w:rPr>
                <w:lang w:val="ro-RO"/>
              </w:rPr>
            </w:pPr>
            <w:r>
              <w:rPr>
                <w:rFonts w:eastAsia="Carlito"/>
                <w:color w:val="20262B"/>
                <w:sz w:val="19"/>
                <w:lang w:val="ro-RO"/>
              </w:rPr>
              <w:t>Limitată</w:t>
            </w:r>
          </w:p>
        </w:tc>
        <w:tc>
          <w:tcPr>
            <w:tcW w:w="2232" w:type="dxa"/>
            <w:shd w:val="clear" w:color="auto" w:fill="F5F7F8"/>
            <w:tcMar>
              <w:top w:w="90" w:type="dxa"/>
              <w:left w:w="110" w:type="dxa"/>
              <w:bottom w:w="90" w:type="dxa"/>
              <w:right w:w="110" w:type="dxa"/>
            </w:tcMar>
            <w:vAlign w:val="center"/>
          </w:tcPr>
          <w:p w14:paraId="5C9ABF68" w14:textId="77777777" w:rsidR="00947D72" w:rsidRPr="00BD1DA7" w:rsidRDefault="00000000">
            <w:pPr>
              <w:spacing w:after="0" w:line="240" w:lineRule="auto"/>
              <w:rPr>
                <w:lang w:val="ro-RO"/>
              </w:rPr>
            </w:pPr>
            <w:r>
              <w:rPr>
                <w:rFonts w:eastAsia="Carlito"/>
                <w:color w:val="20262B"/>
                <w:sz w:val="19"/>
                <w:lang w:val="ro-RO"/>
              </w:rPr>
              <w:t>Blocarea expresiei înainte de publicare</w:t>
            </w:r>
          </w:p>
        </w:tc>
      </w:tr>
      <w:tr w:rsidR="00947D72" w:rsidRPr="00BD1DA7" w14:paraId="68AB864B" w14:textId="77777777">
        <w:trPr>
          <w:cantSplit/>
          <w:jc w:val="center"/>
        </w:trPr>
        <w:tc>
          <w:tcPr>
            <w:tcW w:w="2232" w:type="dxa"/>
            <w:tcMar>
              <w:top w:w="90" w:type="dxa"/>
              <w:left w:w="110" w:type="dxa"/>
              <w:bottom w:w="90" w:type="dxa"/>
              <w:right w:w="110" w:type="dxa"/>
            </w:tcMar>
            <w:vAlign w:val="center"/>
          </w:tcPr>
          <w:p w14:paraId="2233D269" w14:textId="77777777" w:rsidR="00947D72" w:rsidRPr="00BD1DA7" w:rsidRDefault="00000000">
            <w:pPr>
              <w:spacing w:after="0" w:line="240" w:lineRule="auto"/>
              <w:rPr>
                <w:lang w:val="ro-RO"/>
              </w:rPr>
            </w:pPr>
            <w:r>
              <w:rPr>
                <w:rFonts w:eastAsia="Carlito"/>
                <w:color w:val="20262B"/>
                <w:sz w:val="19"/>
                <w:lang w:val="ro-RO"/>
              </w:rPr>
              <w:t>Propagandă monopolistă</w:t>
            </w:r>
          </w:p>
        </w:tc>
        <w:tc>
          <w:tcPr>
            <w:tcW w:w="1152" w:type="dxa"/>
            <w:tcMar>
              <w:top w:w="90" w:type="dxa"/>
              <w:left w:w="110" w:type="dxa"/>
              <w:bottom w:w="90" w:type="dxa"/>
              <w:right w:w="110" w:type="dxa"/>
            </w:tcMar>
            <w:vAlign w:val="center"/>
          </w:tcPr>
          <w:p w14:paraId="391BCB3B" w14:textId="77777777" w:rsidR="00947D72" w:rsidRPr="00BD1DA7" w:rsidRDefault="00000000">
            <w:pPr>
              <w:spacing w:after="0" w:line="240" w:lineRule="auto"/>
              <w:rPr>
                <w:lang w:val="ro-RO"/>
              </w:rPr>
            </w:pPr>
            <w:r>
              <w:rPr>
                <w:rFonts w:eastAsia="Carlito"/>
                <w:color w:val="20262B"/>
                <w:sz w:val="19"/>
                <w:lang w:val="ro-RO"/>
              </w:rPr>
              <w:t>Parțial</w:t>
            </w:r>
          </w:p>
        </w:tc>
        <w:tc>
          <w:tcPr>
            <w:tcW w:w="2088" w:type="dxa"/>
            <w:tcMar>
              <w:top w:w="90" w:type="dxa"/>
              <w:left w:w="110" w:type="dxa"/>
              <w:bottom w:w="90" w:type="dxa"/>
              <w:right w:w="110" w:type="dxa"/>
            </w:tcMar>
            <w:vAlign w:val="center"/>
          </w:tcPr>
          <w:p w14:paraId="7A505C0A" w14:textId="77777777" w:rsidR="00947D72" w:rsidRPr="00BD1DA7" w:rsidRDefault="00000000">
            <w:pPr>
              <w:spacing w:after="0" w:line="240" w:lineRule="auto"/>
              <w:rPr>
                <w:lang w:val="ro-RO"/>
              </w:rPr>
            </w:pPr>
            <w:r>
              <w:rPr>
                <w:rFonts w:eastAsia="Carlito"/>
                <w:color w:val="20262B"/>
                <w:sz w:val="19"/>
                <w:lang w:val="ro-RO"/>
              </w:rPr>
              <w:t>Stat / partid</w:t>
            </w:r>
          </w:p>
        </w:tc>
        <w:tc>
          <w:tcPr>
            <w:tcW w:w="2880" w:type="dxa"/>
            <w:tcMar>
              <w:top w:w="90" w:type="dxa"/>
              <w:left w:w="110" w:type="dxa"/>
              <w:bottom w:w="90" w:type="dxa"/>
              <w:right w:w="110" w:type="dxa"/>
            </w:tcMar>
            <w:vAlign w:val="center"/>
          </w:tcPr>
          <w:p w14:paraId="77E7E204" w14:textId="77777777" w:rsidR="00947D72" w:rsidRPr="00BD1DA7" w:rsidRDefault="00000000">
            <w:pPr>
              <w:spacing w:after="0" w:line="240" w:lineRule="auto"/>
              <w:rPr>
                <w:lang w:val="ro-RO"/>
              </w:rPr>
            </w:pPr>
            <w:r>
              <w:rPr>
                <w:rFonts w:eastAsia="Carlito"/>
                <w:color w:val="20262B"/>
                <w:sz w:val="19"/>
                <w:lang w:val="ro-RO"/>
              </w:rPr>
              <w:t>Nu există competiție reală</w:t>
            </w:r>
          </w:p>
        </w:tc>
        <w:tc>
          <w:tcPr>
            <w:tcW w:w="2232" w:type="dxa"/>
            <w:tcMar>
              <w:top w:w="90" w:type="dxa"/>
              <w:left w:w="110" w:type="dxa"/>
              <w:bottom w:w="90" w:type="dxa"/>
              <w:right w:w="110" w:type="dxa"/>
            </w:tcMar>
            <w:vAlign w:val="center"/>
          </w:tcPr>
          <w:p w14:paraId="15D6B35C" w14:textId="77777777" w:rsidR="00947D72" w:rsidRPr="00BD1DA7" w:rsidRDefault="00000000">
            <w:pPr>
              <w:spacing w:after="0" w:line="240" w:lineRule="auto"/>
              <w:rPr>
                <w:lang w:val="ro-RO"/>
              </w:rPr>
            </w:pPr>
            <w:r>
              <w:rPr>
                <w:rFonts w:eastAsia="Carlito"/>
                <w:color w:val="20262B"/>
                <w:sz w:val="19"/>
                <w:lang w:val="ro-RO"/>
              </w:rPr>
              <w:t>Înlocuirea pluralismului cu narațiune oficială</w:t>
            </w:r>
          </w:p>
        </w:tc>
      </w:tr>
      <w:tr w:rsidR="00947D72" w:rsidRPr="00BD1DA7" w14:paraId="70D3CEA5" w14:textId="77777777">
        <w:trPr>
          <w:cantSplit/>
          <w:jc w:val="center"/>
        </w:trPr>
        <w:tc>
          <w:tcPr>
            <w:tcW w:w="2232" w:type="dxa"/>
            <w:shd w:val="clear" w:color="auto" w:fill="F5F7F8"/>
            <w:tcMar>
              <w:top w:w="90" w:type="dxa"/>
              <w:left w:w="110" w:type="dxa"/>
              <w:bottom w:w="90" w:type="dxa"/>
              <w:right w:w="110" w:type="dxa"/>
            </w:tcMar>
            <w:vAlign w:val="center"/>
          </w:tcPr>
          <w:p w14:paraId="174BDC17" w14:textId="77777777" w:rsidR="00947D72" w:rsidRPr="00BD1DA7" w:rsidRDefault="00000000">
            <w:pPr>
              <w:spacing w:after="0" w:line="240" w:lineRule="auto"/>
              <w:rPr>
                <w:lang w:val="ro-RO"/>
              </w:rPr>
            </w:pPr>
            <w:r>
              <w:rPr>
                <w:rFonts w:eastAsia="Carlito"/>
                <w:color w:val="20262B"/>
                <w:sz w:val="19"/>
                <w:lang w:val="ro-RO"/>
              </w:rPr>
              <w:t>Captură economică</w:t>
            </w:r>
          </w:p>
        </w:tc>
        <w:tc>
          <w:tcPr>
            <w:tcW w:w="1152" w:type="dxa"/>
            <w:shd w:val="clear" w:color="auto" w:fill="F5F7F8"/>
            <w:tcMar>
              <w:top w:w="90" w:type="dxa"/>
              <w:left w:w="110" w:type="dxa"/>
              <w:bottom w:w="90" w:type="dxa"/>
              <w:right w:w="110" w:type="dxa"/>
            </w:tcMar>
            <w:vAlign w:val="center"/>
          </w:tcPr>
          <w:p w14:paraId="544726F6" w14:textId="77777777" w:rsidR="00947D72" w:rsidRPr="00BD1DA7" w:rsidRDefault="00000000">
            <w:pPr>
              <w:spacing w:after="0" w:line="240" w:lineRule="auto"/>
              <w:rPr>
                <w:lang w:val="ro-RO"/>
              </w:rPr>
            </w:pPr>
            <w:r>
              <w:rPr>
                <w:rFonts w:eastAsia="Carlito"/>
                <w:color w:val="20262B"/>
                <w:sz w:val="19"/>
                <w:lang w:val="ro-RO"/>
              </w:rPr>
              <w:t>Adesea opacă</w:t>
            </w:r>
          </w:p>
        </w:tc>
        <w:tc>
          <w:tcPr>
            <w:tcW w:w="2088" w:type="dxa"/>
            <w:shd w:val="clear" w:color="auto" w:fill="F5F7F8"/>
            <w:tcMar>
              <w:top w:w="90" w:type="dxa"/>
              <w:left w:w="110" w:type="dxa"/>
              <w:bottom w:w="90" w:type="dxa"/>
              <w:right w:w="110" w:type="dxa"/>
            </w:tcMar>
            <w:vAlign w:val="center"/>
          </w:tcPr>
          <w:p w14:paraId="48AE8595" w14:textId="77777777" w:rsidR="00947D72" w:rsidRPr="00BD1DA7" w:rsidRDefault="00000000">
            <w:pPr>
              <w:spacing w:after="0" w:line="240" w:lineRule="auto"/>
              <w:rPr>
                <w:lang w:val="ro-RO"/>
              </w:rPr>
            </w:pPr>
            <w:r>
              <w:rPr>
                <w:rFonts w:eastAsia="Carlito"/>
                <w:color w:val="20262B"/>
                <w:sz w:val="19"/>
                <w:lang w:val="ro-RO"/>
              </w:rPr>
              <w:t>Proprietari / finanțatori / stat</w:t>
            </w:r>
          </w:p>
        </w:tc>
        <w:tc>
          <w:tcPr>
            <w:tcW w:w="2880" w:type="dxa"/>
            <w:shd w:val="clear" w:color="auto" w:fill="F5F7F8"/>
            <w:tcMar>
              <w:top w:w="90" w:type="dxa"/>
              <w:left w:w="110" w:type="dxa"/>
              <w:bottom w:w="90" w:type="dxa"/>
              <w:right w:w="110" w:type="dxa"/>
            </w:tcMar>
            <w:vAlign w:val="center"/>
          </w:tcPr>
          <w:p w14:paraId="6A477347" w14:textId="77777777" w:rsidR="00947D72" w:rsidRPr="00BD1DA7" w:rsidRDefault="00000000">
            <w:pPr>
              <w:spacing w:after="0" w:line="240" w:lineRule="auto"/>
              <w:rPr>
                <w:lang w:val="ro-RO"/>
              </w:rPr>
            </w:pPr>
            <w:r>
              <w:rPr>
                <w:rFonts w:eastAsia="Carlito"/>
                <w:color w:val="20262B"/>
                <w:sz w:val="19"/>
                <w:lang w:val="ro-RO"/>
              </w:rPr>
              <w:t>Contractuală, piață, presiune publică</w:t>
            </w:r>
          </w:p>
        </w:tc>
        <w:tc>
          <w:tcPr>
            <w:tcW w:w="2232" w:type="dxa"/>
            <w:shd w:val="clear" w:color="auto" w:fill="F5F7F8"/>
            <w:tcMar>
              <w:top w:w="90" w:type="dxa"/>
              <w:left w:w="110" w:type="dxa"/>
              <w:bottom w:w="90" w:type="dxa"/>
              <w:right w:w="110" w:type="dxa"/>
            </w:tcMar>
            <w:vAlign w:val="center"/>
          </w:tcPr>
          <w:p w14:paraId="521E55F1" w14:textId="77777777" w:rsidR="00947D72" w:rsidRPr="00BD1DA7" w:rsidRDefault="00000000">
            <w:pPr>
              <w:spacing w:after="0" w:line="240" w:lineRule="auto"/>
              <w:rPr>
                <w:lang w:val="ro-RO"/>
              </w:rPr>
            </w:pPr>
            <w:r>
              <w:rPr>
                <w:rFonts w:eastAsia="Carlito"/>
                <w:color w:val="20262B"/>
                <w:sz w:val="19"/>
                <w:lang w:val="ro-RO"/>
              </w:rPr>
              <w:t>Autocenzură și dependență</w:t>
            </w:r>
          </w:p>
        </w:tc>
      </w:tr>
      <w:tr w:rsidR="00947D72" w:rsidRPr="00BD1DA7" w14:paraId="6BBED5EE" w14:textId="77777777">
        <w:trPr>
          <w:cantSplit/>
          <w:jc w:val="center"/>
        </w:trPr>
        <w:tc>
          <w:tcPr>
            <w:tcW w:w="2232" w:type="dxa"/>
            <w:tcMar>
              <w:top w:w="90" w:type="dxa"/>
              <w:left w:w="110" w:type="dxa"/>
              <w:bottom w:w="90" w:type="dxa"/>
              <w:right w:w="110" w:type="dxa"/>
            </w:tcMar>
            <w:vAlign w:val="center"/>
          </w:tcPr>
          <w:p w14:paraId="08AB96D1" w14:textId="77777777" w:rsidR="00947D72" w:rsidRPr="00BD1DA7" w:rsidRDefault="00000000">
            <w:pPr>
              <w:spacing w:after="0" w:line="240" w:lineRule="auto"/>
              <w:rPr>
                <w:lang w:val="ro-RO"/>
              </w:rPr>
            </w:pPr>
            <w:r>
              <w:rPr>
                <w:rFonts w:eastAsia="Carlito"/>
                <w:color w:val="20262B"/>
                <w:sz w:val="19"/>
                <w:lang w:val="ro-RO"/>
              </w:rPr>
              <w:t>Moderare de platformă</w:t>
            </w:r>
          </w:p>
        </w:tc>
        <w:tc>
          <w:tcPr>
            <w:tcW w:w="1152" w:type="dxa"/>
            <w:tcMar>
              <w:top w:w="90" w:type="dxa"/>
              <w:left w:w="110" w:type="dxa"/>
              <w:bottom w:w="90" w:type="dxa"/>
              <w:right w:w="110" w:type="dxa"/>
            </w:tcMar>
            <w:vAlign w:val="center"/>
          </w:tcPr>
          <w:p w14:paraId="39C5819B" w14:textId="77777777" w:rsidR="00947D72" w:rsidRPr="00BD1DA7" w:rsidRDefault="00000000">
            <w:pPr>
              <w:spacing w:after="0" w:line="240" w:lineRule="auto"/>
              <w:rPr>
                <w:lang w:val="ro-RO"/>
              </w:rPr>
            </w:pPr>
            <w:r>
              <w:rPr>
                <w:rFonts w:eastAsia="Carlito"/>
                <w:color w:val="20262B"/>
                <w:sz w:val="19"/>
                <w:lang w:val="ro-RO"/>
              </w:rPr>
              <w:t>Variabil</w:t>
            </w:r>
          </w:p>
        </w:tc>
        <w:tc>
          <w:tcPr>
            <w:tcW w:w="2088" w:type="dxa"/>
            <w:tcMar>
              <w:top w:w="90" w:type="dxa"/>
              <w:left w:w="110" w:type="dxa"/>
              <w:bottom w:w="90" w:type="dxa"/>
              <w:right w:w="110" w:type="dxa"/>
            </w:tcMar>
            <w:vAlign w:val="center"/>
          </w:tcPr>
          <w:p w14:paraId="6909DB31" w14:textId="77777777" w:rsidR="00947D72" w:rsidRPr="00BD1DA7" w:rsidRDefault="00000000">
            <w:pPr>
              <w:spacing w:after="0" w:line="240" w:lineRule="auto"/>
              <w:rPr>
                <w:lang w:val="ro-RO"/>
              </w:rPr>
            </w:pPr>
            <w:r>
              <w:rPr>
                <w:rFonts w:eastAsia="Carlito"/>
                <w:color w:val="20262B"/>
                <w:sz w:val="19"/>
                <w:lang w:val="ro-RO"/>
              </w:rPr>
              <w:t>Companie digitală</w:t>
            </w:r>
          </w:p>
        </w:tc>
        <w:tc>
          <w:tcPr>
            <w:tcW w:w="2880" w:type="dxa"/>
            <w:tcMar>
              <w:top w:w="90" w:type="dxa"/>
              <w:left w:w="110" w:type="dxa"/>
              <w:bottom w:w="90" w:type="dxa"/>
              <w:right w:w="110" w:type="dxa"/>
            </w:tcMar>
            <w:vAlign w:val="center"/>
          </w:tcPr>
          <w:p w14:paraId="3A2AD65F" w14:textId="77777777" w:rsidR="00947D72" w:rsidRPr="00BD1DA7" w:rsidRDefault="00000000">
            <w:pPr>
              <w:spacing w:after="0" w:line="240" w:lineRule="auto"/>
              <w:rPr>
                <w:lang w:val="ro-RO"/>
              </w:rPr>
            </w:pPr>
            <w:r>
              <w:rPr>
                <w:rFonts w:eastAsia="Carlito"/>
                <w:color w:val="20262B"/>
                <w:sz w:val="19"/>
                <w:lang w:val="ro-RO"/>
              </w:rPr>
              <w:t>Internă, extrajudiciară, instanță în UE</w:t>
            </w:r>
          </w:p>
        </w:tc>
        <w:tc>
          <w:tcPr>
            <w:tcW w:w="2232" w:type="dxa"/>
            <w:tcMar>
              <w:top w:w="90" w:type="dxa"/>
              <w:left w:w="110" w:type="dxa"/>
              <w:bottom w:w="90" w:type="dxa"/>
              <w:right w:w="110" w:type="dxa"/>
            </w:tcMar>
            <w:vAlign w:val="center"/>
          </w:tcPr>
          <w:p w14:paraId="186EBFC0" w14:textId="77777777" w:rsidR="00947D72" w:rsidRPr="00BD1DA7" w:rsidRDefault="00000000">
            <w:pPr>
              <w:spacing w:after="0" w:line="240" w:lineRule="auto"/>
              <w:rPr>
                <w:lang w:val="ro-RO"/>
              </w:rPr>
            </w:pPr>
            <w:r>
              <w:rPr>
                <w:rFonts w:eastAsia="Carlito"/>
                <w:color w:val="20262B"/>
                <w:sz w:val="19"/>
                <w:lang w:val="ro-RO"/>
              </w:rPr>
              <w:t>Aplicare inconsistentă / supra-moderare</w:t>
            </w:r>
          </w:p>
        </w:tc>
      </w:tr>
      <w:tr w:rsidR="00947D72" w:rsidRPr="00BD1DA7" w14:paraId="10FA4BAD" w14:textId="77777777">
        <w:trPr>
          <w:cantSplit/>
          <w:jc w:val="center"/>
        </w:trPr>
        <w:tc>
          <w:tcPr>
            <w:tcW w:w="2232" w:type="dxa"/>
            <w:shd w:val="clear" w:color="auto" w:fill="F5F7F8"/>
            <w:tcMar>
              <w:top w:w="90" w:type="dxa"/>
              <w:left w:w="110" w:type="dxa"/>
              <w:bottom w:w="90" w:type="dxa"/>
              <w:right w:w="110" w:type="dxa"/>
            </w:tcMar>
            <w:vAlign w:val="center"/>
          </w:tcPr>
          <w:p w14:paraId="1321F99C" w14:textId="77777777" w:rsidR="00947D72" w:rsidRPr="00BD1DA7" w:rsidRDefault="00000000">
            <w:pPr>
              <w:spacing w:after="0" w:line="240" w:lineRule="auto"/>
              <w:rPr>
                <w:lang w:val="ro-RO"/>
              </w:rPr>
            </w:pPr>
            <w:r>
              <w:rPr>
                <w:rFonts w:eastAsia="Carlito"/>
                <w:color w:val="20262B"/>
                <w:sz w:val="19"/>
                <w:lang w:val="ro-RO"/>
              </w:rPr>
              <w:t>Ranking algoritmic</w:t>
            </w:r>
          </w:p>
        </w:tc>
        <w:tc>
          <w:tcPr>
            <w:tcW w:w="1152" w:type="dxa"/>
            <w:shd w:val="clear" w:color="auto" w:fill="F5F7F8"/>
            <w:tcMar>
              <w:top w:w="90" w:type="dxa"/>
              <w:left w:w="110" w:type="dxa"/>
              <w:bottom w:w="90" w:type="dxa"/>
              <w:right w:w="110" w:type="dxa"/>
            </w:tcMar>
            <w:vAlign w:val="center"/>
          </w:tcPr>
          <w:p w14:paraId="197189C0" w14:textId="77777777" w:rsidR="00947D72" w:rsidRPr="00BD1DA7" w:rsidRDefault="00000000">
            <w:pPr>
              <w:spacing w:after="0" w:line="240" w:lineRule="auto"/>
              <w:rPr>
                <w:lang w:val="ro-RO"/>
              </w:rPr>
            </w:pPr>
            <w:r>
              <w:rPr>
                <w:rFonts w:eastAsia="Carlito"/>
                <w:color w:val="20262B"/>
                <w:sz w:val="19"/>
                <w:lang w:val="ro-RO"/>
              </w:rPr>
              <w:t>Foarte puțin</w:t>
            </w:r>
          </w:p>
        </w:tc>
        <w:tc>
          <w:tcPr>
            <w:tcW w:w="2088" w:type="dxa"/>
            <w:shd w:val="clear" w:color="auto" w:fill="F5F7F8"/>
            <w:tcMar>
              <w:top w:w="90" w:type="dxa"/>
              <w:left w:w="110" w:type="dxa"/>
              <w:bottom w:w="90" w:type="dxa"/>
              <w:right w:w="110" w:type="dxa"/>
            </w:tcMar>
            <w:vAlign w:val="center"/>
          </w:tcPr>
          <w:p w14:paraId="33BE4771" w14:textId="77777777" w:rsidR="00947D72" w:rsidRPr="00BD1DA7" w:rsidRDefault="00000000">
            <w:pPr>
              <w:spacing w:after="0" w:line="240" w:lineRule="auto"/>
              <w:rPr>
                <w:lang w:val="ro-RO"/>
              </w:rPr>
            </w:pPr>
            <w:r>
              <w:rPr>
                <w:rFonts w:eastAsia="Carlito"/>
                <w:color w:val="20262B"/>
                <w:sz w:val="19"/>
                <w:lang w:val="ro-RO"/>
              </w:rPr>
              <w:t>Platformă / sistem automat</w:t>
            </w:r>
          </w:p>
        </w:tc>
        <w:tc>
          <w:tcPr>
            <w:tcW w:w="2880" w:type="dxa"/>
            <w:shd w:val="clear" w:color="auto" w:fill="F5F7F8"/>
            <w:tcMar>
              <w:top w:w="90" w:type="dxa"/>
              <w:left w:w="110" w:type="dxa"/>
              <w:bottom w:w="90" w:type="dxa"/>
              <w:right w:w="110" w:type="dxa"/>
            </w:tcMar>
            <w:vAlign w:val="center"/>
          </w:tcPr>
          <w:p w14:paraId="25C798D6" w14:textId="77777777" w:rsidR="00947D72" w:rsidRPr="00BD1DA7" w:rsidRDefault="00000000">
            <w:pPr>
              <w:spacing w:after="0" w:line="240" w:lineRule="auto"/>
              <w:rPr>
                <w:lang w:val="ro-RO"/>
              </w:rPr>
            </w:pPr>
            <w:r>
              <w:rPr>
                <w:rFonts w:eastAsia="Carlito"/>
                <w:color w:val="20262B"/>
                <w:sz w:val="19"/>
                <w:lang w:val="ro-RO"/>
              </w:rPr>
              <w:t>Audit și transparență limitate</w:t>
            </w:r>
          </w:p>
        </w:tc>
        <w:tc>
          <w:tcPr>
            <w:tcW w:w="2232" w:type="dxa"/>
            <w:shd w:val="clear" w:color="auto" w:fill="F5F7F8"/>
            <w:tcMar>
              <w:top w:w="90" w:type="dxa"/>
              <w:left w:w="110" w:type="dxa"/>
              <w:bottom w:w="90" w:type="dxa"/>
              <w:right w:w="110" w:type="dxa"/>
            </w:tcMar>
            <w:vAlign w:val="center"/>
          </w:tcPr>
          <w:p w14:paraId="753F1AF6" w14:textId="77777777" w:rsidR="00947D72" w:rsidRPr="00BD1DA7" w:rsidRDefault="00000000">
            <w:pPr>
              <w:spacing w:after="0" w:line="240" w:lineRule="auto"/>
              <w:rPr>
                <w:lang w:val="ro-RO"/>
              </w:rPr>
            </w:pPr>
            <w:r>
              <w:rPr>
                <w:rFonts w:eastAsia="Carlito"/>
                <w:color w:val="20262B"/>
                <w:sz w:val="19"/>
                <w:lang w:val="ro-RO"/>
              </w:rPr>
              <w:t>Invizibilitate fără interdicție</w:t>
            </w:r>
          </w:p>
        </w:tc>
      </w:tr>
      <w:tr w:rsidR="00947D72" w:rsidRPr="00BD1DA7" w14:paraId="328D48C9" w14:textId="77777777">
        <w:trPr>
          <w:cantSplit/>
          <w:jc w:val="center"/>
        </w:trPr>
        <w:tc>
          <w:tcPr>
            <w:tcW w:w="2232" w:type="dxa"/>
            <w:tcMar>
              <w:top w:w="90" w:type="dxa"/>
              <w:left w:w="110" w:type="dxa"/>
              <w:bottom w:w="90" w:type="dxa"/>
              <w:right w:w="110" w:type="dxa"/>
            </w:tcMar>
            <w:vAlign w:val="center"/>
          </w:tcPr>
          <w:p w14:paraId="6D35EC82" w14:textId="77777777" w:rsidR="00947D72" w:rsidRPr="00BD1DA7" w:rsidRDefault="00000000">
            <w:pPr>
              <w:spacing w:after="0" w:line="240" w:lineRule="auto"/>
              <w:rPr>
                <w:lang w:val="ro-RO"/>
              </w:rPr>
            </w:pPr>
            <w:r>
              <w:rPr>
                <w:rFonts w:eastAsia="Carlito"/>
                <w:color w:val="20262B"/>
                <w:sz w:val="19"/>
                <w:lang w:val="ro-RO"/>
              </w:rPr>
              <w:t>Anulare electorală</w:t>
            </w:r>
          </w:p>
        </w:tc>
        <w:tc>
          <w:tcPr>
            <w:tcW w:w="1152" w:type="dxa"/>
            <w:tcMar>
              <w:top w:w="90" w:type="dxa"/>
              <w:left w:w="110" w:type="dxa"/>
              <w:bottom w:w="90" w:type="dxa"/>
              <w:right w:w="110" w:type="dxa"/>
            </w:tcMar>
            <w:vAlign w:val="center"/>
          </w:tcPr>
          <w:p w14:paraId="48BF2E10" w14:textId="77777777" w:rsidR="00947D72" w:rsidRPr="00BD1DA7" w:rsidRDefault="00000000">
            <w:pPr>
              <w:spacing w:after="0" w:line="240" w:lineRule="auto"/>
              <w:rPr>
                <w:lang w:val="ro-RO"/>
              </w:rPr>
            </w:pPr>
            <w:r>
              <w:rPr>
                <w:rFonts w:eastAsia="Carlito"/>
                <w:color w:val="20262B"/>
                <w:sz w:val="19"/>
                <w:lang w:val="ro-RO"/>
              </w:rPr>
              <w:t>Da, maximă</w:t>
            </w:r>
          </w:p>
        </w:tc>
        <w:tc>
          <w:tcPr>
            <w:tcW w:w="2088" w:type="dxa"/>
            <w:tcMar>
              <w:top w:w="90" w:type="dxa"/>
              <w:left w:w="110" w:type="dxa"/>
              <w:bottom w:w="90" w:type="dxa"/>
              <w:right w:w="110" w:type="dxa"/>
            </w:tcMar>
            <w:vAlign w:val="center"/>
          </w:tcPr>
          <w:p w14:paraId="6956F8F2" w14:textId="77777777" w:rsidR="00947D72" w:rsidRPr="00BD1DA7" w:rsidRDefault="00000000">
            <w:pPr>
              <w:spacing w:after="0" w:line="240" w:lineRule="auto"/>
              <w:rPr>
                <w:lang w:val="ro-RO"/>
              </w:rPr>
            </w:pPr>
            <w:r>
              <w:rPr>
                <w:rFonts w:eastAsia="Carlito"/>
                <w:color w:val="20262B"/>
                <w:sz w:val="19"/>
                <w:lang w:val="ro-RO"/>
              </w:rPr>
              <w:t>Instanță / autoritate competentă</w:t>
            </w:r>
          </w:p>
        </w:tc>
        <w:tc>
          <w:tcPr>
            <w:tcW w:w="2880" w:type="dxa"/>
            <w:tcMar>
              <w:top w:w="90" w:type="dxa"/>
              <w:left w:w="110" w:type="dxa"/>
              <w:bottom w:w="90" w:type="dxa"/>
              <w:right w:w="110" w:type="dxa"/>
            </w:tcMar>
            <w:vAlign w:val="center"/>
          </w:tcPr>
          <w:p w14:paraId="489953A6" w14:textId="77777777" w:rsidR="00947D72" w:rsidRPr="00BD1DA7" w:rsidRDefault="00000000">
            <w:pPr>
              <w:spacing w:after="0" w:line="240" w:lineRule="auto"/>
              <w:rPr>
                <w:lang w:val="ro-RO"/>
              </w:rPr>
            </w:pPr>
            <w:r>
              <w:rPr>
                <w:rFonts w:eastAsia="Carlito"/>
                <w:color w:val="20262B"/>
                <w:sz w:val="19"/>
                <w:lang w:val="ro-RO"/>
              </w:rPr>
              <w:t>Depinde de sistem; uneori decizie finală</w:t>
            </w:r>
          </w:p>
        </w:tc>
        <w:tc>
          <w:tcPr>
            <w:tcW w:w="2232" w:type="dxa"/>
            <w:tcMar>
              <w:top w:w="90" w:type="dxa"/>
              <w:left w:w="110" w:type="dxa"/>
              <w:bottom w:w="90" w:type="dxa"/>
              <w:right w:w="110" w:type="dxa"/>
            </w:tcMar>
            <w:vAlign w:val="center"/>
          </w:tcPr>
          <w:p w14:paraId="3D2AEB2F" w14:textId="77777777" w:rsidR="00947D72" w:rsidRPr="00BD1DA7" w:rsidRDefault="00000000">
            <w:pPr>
              <w:spacing w:after="0" w:line="240" w:lineRule="auto"/>
              <w:rPr>
                <w:lang w:val="ro-RO"/>
              </w:rPr>
            </w:pPr>
            <w:r>
              <w:rPr>
                <w:rFonts w:eastAsia="Carlito"/>
                <w:color w:val="20262B"/>
                <w:sz w:val="19"/>
                <w:lang w:val="ro-RO"/>
              </w:rPr>
              <w:t>Conflict între integritate și finalitatea votului</w:t>
            </w:r>
          </w:p>
        </w:tc>
      </w:tr>
      <w:tr w:rsidR="00947D72" w:rsidRPr="00BD1DA7">
        <w:trPr>
          <w:jc w:val="center"/>
        </w:trPr>
        <w:tc>
          <w:tcPr>
            <w:tcW w:w="1976" w:type="dxa"/>
            <w:tcMar>
              <w:top w:w="90" w:type="dxa"/>
              <w:left w:w="110" w:type="dxa"/>
              <w:bottom w:w="90" w:type="dxa"/>
              <w:right w:w="110" w:type="dxa"/>
            </w:tcMar>
            <w:vAlign w:val="center"/>
          </w:tcPr>
          <w:p w:rsidR="00947D72" w:rsidRPr="00BD1DA7" w:rsidRDefault="00000000">
            <w:pPr>
              <w:spacing w:after="0"/>
              <w:rPr>
                <w:lang w:val="ro-RO"/>
              </w:rPr>
            </w:pPr>
            <w:r>
              <w:rPr>
                <w:sz w:val="18"/>
                <w:lang w:val="ro-RO"/>
              </w:rPr>
              <w:t>Intimidare juridică (SLAPP)</w:t>
            </w:r>
          </w:p>
        </w:tc>
        <w:tc>
          <w:tcPr>
            <w:tcW w:w="1976" w:type="dxa"/>
            <w:tcMar>
              <w:top w:w="90" w:type="dxa"/>
              <w:left w:w="110" w:type="dxa"/>
              <w:bottom w:w="90" w:type="dxa"/>
              <w:right w:w="110" w:type="dxa"/>
            </w:tcMar>
            <w:vAlign w:val="center"/>
          </w:tcPr>
          <w:p w:rsidR="00947D72" w:rsidRPr="00BD1DA7" w:rsidRDefault="00000000">
            <w:pPr>
              <w:spacing w:after="0"/>
              <w:rPr>
                <w:lang w:val="ro-RO"/>
              </w:rPr>
            </w:pPr>
            <w:r>
              <w:rPr>
                <w:sz w:val="18"/>
                <w:lang w:val="ro-RO"/>
              </w:rPr>
              <w:t>Procesul este public; efectul este tăcerea</w:t>
            </w:r>
          </w:p>
        </w:tc>
        <w:tc>
          <w:tcPr>
            <w:tcW w:w="1976" w:type="dxa"/>
            <w:tcMar>
              <w:top w:w="90" w:type="dxa"/>
              <w:left w:w="110" w:type="dxa"/>
              <w:bottom w:w="90" w:type="dxa"/>
              <w:right w:w="110" w:type="dxa"/>
            </w:tcMar>
            <w:vAlign w:val="center"/>
          </w:tcPr>
          <w:p w:rsidR="00947D72" w:rsidRPr="00BD1DA7" w:rsidRDefault="00000000">
            <w:pPr>
              <w:spacing w:after="0"/>
              <w:rPr>
                <w:lang w:val="ro-RO"/>
              </w:rPr>
            </w:pPr>
            <w:r>
              <w:rPr>
                <w:sz w:val="18"/>
                <w:lang w:val="ro-RO"/>
              </w:rPr>
              <w:t>Reclamanți cu resurse</w:t>
            </w:r>
          </w:p>
        </w:tc>
        <w:tc>
          <w:tcPr>
            <w:tcW w:w="1976" w:type="dxa"/>
            <w:tcMar>
              <w:top w:w="90" w:type="dxa"/>
              <w:left w:w="110" w:type="dxa"/>
              <w:bottom w:w="90" w:type="dxa"/>
              <w:right w:w="110" w:type="dxa"/>
            </w:tcMar>
            <w:vAlign w:val="center"/>
          </w:tcPr>
          <w:p w:rsidR="00947D72" w:rsidRPr="00BD1DA7" w:rsidRDefault="00000000">
            <w:pPr>
              <w:spacing w:after="0"/>
              <w:rPr>
                <w:lang w:val="ro-RO"/>
              </w:rPr>
            </w:pPr>
            <w:r>
              <w:rPr>
                <w:sz w:val="18"/>
                <w:lang w:val="ro-RO"/>
              </w:rPr>
              <w:t>Judiciară; garanții anti-SLAPP în curs de transpunere</w:t>
            </w:r>
          </w:p>
        </w:tc>
        <w:tc>
          <w:tcPr>
            <w:tcW w:w="1976" w:type="dxa"/>
            <w:tcMar>
              <w:top w:w="90" w:type="dxa"/>
              <w:left w:w="110" w:type="dxa"/>
              <w:bottom w:w="90" w:type="dxa"/>
              <w:right w:w="110" w:type="dxa"/>
            </w:tcMar>
            <w:vAlign w:val="center"/>
          </w:tcPr>
          <w:p w:rsidR="00947D72" w:rsidRPr="00BD1DA7" w:rsidRDefault="00000000">
            <w:pPr>
              <w:spacing w:after="0"/>
              <w:rPr>
                <w:lang w:val="ro-RO"/>
              </w:rPr>
            </w:pPr>
            <w:r>
              <w:rPr>
                <w:sz w:val="18"/>
                <w:lang w:val="ro-RO"/>
              </w:rPr>
              <w:t>Autocenzură prin cost juridic și epuizare procedurală</w:t>
            </w:r>
          </w:p>
        </w:tc>
      </w:tr>
      <w:tr w:rsidR="00947D72" w:rsidRPr="00BD1DA7" w14:paraId="6A41F448" w14:textId="77777777">
        <w:trPr>
          <w:jc w:val="center"/>
        </w:trPr>
        <w:tc>
          <w:tcPr>
            <w:tcW w:w="1976" w:type="dxa"/>
            <w:tcMar>
              <w:top w:w="90" w:type="dxa"/>
              <w:left w:w="110" w:type="dxa"/>
              <w:bottom w:w="90" w:type="dxa"/>
              <w:right w:w="110" w:type="dxa"/>
            </w:tcMar>
            <w:vAlign w:val="center"/>
          </w:tcPr>
          <w:p w14:paraId="712E1145" w14:textId="77777777" w:rsidR="00947D72" w:rsidRPr="00BD1DA7" w:rsidRDefault="00000000">
            <w:pPr>
              <w:spacing w:after="0"/>
              <w:rPr>
                <w:lang w:val="ro-RO"/>
              </w:rPr>
            </w:pPr>
            <w:r>
              <w:rPr>
                <w:sz w:val="18"/>
                <w:lang w:val="ro-RO"/>
              </w:rPr>
              <w:t>Ostracizare / anulare reputațională</w:t>
            </w:r>
          </w:p>
        </w:tc>
        <w:tc>
          <w:tcPr>
            <w:tcW w:w="1976" w:type="dxa"/>
            <w:tcMar>
              <w:top w:w="90" w:type="dxa"/>
              <w:left w:w="110" w:type="dxa"/>
              <w:bottom w:w="90" w:type="dxa"/>
              <w:right w:w="110" w:type="dxa"/>
            </w:tcMar>
            <w:vAlign w:val="center"/>
          </w:tcPr>
          <w:p w14:paraId="0F59847F" w14:textId="77777777" w:rsidR="00947D72" w:rsidRPr="00BD1DA7" w:rsidRDefault="00000000">
            <w:pPr>
              <w:spacing w:after="0"/>
              <w:rPr>
                <w:lang w:val="ro-RO"/>
              </w:rPr>
            </w:pPr>
            <w:r>
              <w:rPr>
                <w:sz w:val="18"/>
                <w:lang w:val="ro-RO"/>
              </w:rPr>
              <w:t>Variabil</w:t>
            </w:r>
          </w:p>
        </w:tc>
        <w:tc>
          <w:tcPr>
            <w:tcW w:w="1976" w:type="dxa"/>
            <w:tcMar>
              <w:top w:w="90" w:type="dxa"/>
              <w:left w:w="110" w:type="dxa"/>
              <w:bottom w:w="90" w:type="dxa"/>
              <w:right w:w="110" w:type="dxa"/>
            </w:tcMar>
            <w:vAlign w:val="center"/>
          </w:tcPr>
          <w:p w14:paraId="783CBC7F" w14:textId="77777777" w:rsidR="00947D72" w:rsidRPr="00BD1DA7" w:rsidRDefault="00000000">
            <w:pPr>
              <w:spacing w:after="0"/>
              <w:rPr>
                <w:lang w:val="ro-RO"/>
              </w:rPr>
            </w:pPr>
            <w:r>
              <w:rPr>
                <w:sz w:val="18"/>
                <w:lang w:val="ro-RO"/>
              </w:rPr>
              <w:t>Public / instituții / platforme / angajatori</w:t>
            </w:r>
          </w:p>
        </w:tc>
        <w:tc>
          <w:tcPr>
            <w:tcW w:w="1976" w:type="dxa"/>
            <w:tcMar>
              <w:top w:w="90" w:type="dxa"/>
              <w:left w:w="110" w:type="dxa"/>
              <w:bottom w:w="90" w:type="dxa"/>
              <w:right w:w="110" w:type="dxa"/>
            </w:tcMar>
            <w:vAlign w:val="center"/>
          </w:tcPr>
          <w:p w14:paraId="4D185576" w14:textId="77777777" w:rsidR="00947D72" w:rsidRPr="00BD1DA7" w:rsidRDefault="00000000">
            <w:pPr>
              <w:spacing w:after="0"/>
              <w:rPr>
                <w:lang w:val="ro-RO"/>
              </w:rPr>
            </w:pPr>
            <w:r>
              <w:rPr>
                <w:sz w:val="18"/>
                <w:lang w:val="ro-RO"/>
              </w:rPr>
              <w:t>Socială, contractuală, internă; uneori juridică</w:t>
            </w:r>
          </w:p>
        </w:tc>
        <w:tc>
          <w:tcPr>
            <w:tcW w:w="1976" w:type="dxa"/>
            <w:tcMar>
              <w:top w:w="90" w:type="dxa"/>
              <w:left w:w="110" w:type="dxa"/>
              <w:bottom w:w="90" w:type="dxa"/>
              <w:right w:w="110" w:type="dxa"/>
            </w:tcMar>
            <w:vAlign w:val="center"/>
          </w:tcPr>
          <w:p w14:paraId="39937D7D" w14:textId="77777777" w:rsidR="00947D72" w:rsidRPr="00BD1DA7" w:rsidRDefault="00000000">
            <w:pPr>
              <w:spacing w:after="0"/>
              <w:rPr>
                <w:lang w:val="ro-RO"/>
              </w:rPr>
            </w:pPr>
            <w:r>
              <w:rPr>
                <w:sz w:val="18"/>
                <w:lang w:val="ro-RO"/>
              </w:rPr>
              <w:t>Autocenzură, sancțiune disproporționată, reducerea pluralismului</w:t>
            </w:r>
          </w:p>
        </w:tc>
      </w:tr>
    </w:tbl>
    <w:p w14:paraId="7F45601E" w14:textId="77777777" w:rsidR="00947D72" w:rsidRPr="00BD1DA7" w:rsidRDefault="00947D72">
      <w:pPr>
        <w:spacing w:after="20"/>
        <w:rPr>
          <w:lang w:val="ro-RO"/>
        </w:rPr>
      </w:pPr>
    </w:p>
    <w:p w14:paraId="238569AB" w14:textId="77777777" w:rsidR="00947D72" w:rsidRPr="00BD1DA7" w:rsidRDefault="00000000">
      <w:pPr>
        <w:rPr>
          <w:lang w:val="ro-RO"/>
        </w:rPr>
      </w:pPr>
      <w:r>
        <w:rPr>
          <w:rFonts w:eastAsia="Carlito"/>
          <w:color w:val="20262B"/>
          <w:lang w:val="ro-RO"/>
        </w:rPr>
        <w:t>Matricea arată de ce formula „mecanismul este același, doar instrumentele s-au schimbat” este prea puternică. Stimulentul - protejarea puterii, ordinii sau integrității - poate avea continuități. Dar actorul, norma, intensitatea, reversibilitatea și controlul democratic modifică fundamental natura intervenției.</w:t>
      </w:r>
    </w:p>
    <w:p w14:paraId="503387E2" w14:textId="77777777" w:rsidR="00947D72" w:rsidRPr="00BD1DA7" w:rsidRDefault="00000000">
      <w:pPr>
        <w:pStyle w:val="Heading1"/>
        <w:spacing w:before="220" w:after="100"/>
        <w:rPr>
          <w:lang w:val="ro-RO"/>
        </w:rPr>
      </w:pPr>
      <w:r>
        <w:rPr>
          <w:lang w:val="ro-RO"/>
        </w:rPr>
        <w:t>12. „Apărarea democrației”: concept necesar, formulă periculoasă dacă devine autosuficientă</w:t>
      </w:r>
    </w:p>
    <w:p w14:paraId="63F0BCDF" w14:textId="77777777" w:rsidR="00947D72" w:rsidRPr="00BD1DA7" w:rsidRDefault="00000000">
      <w:pPr>
        <w:rPr>
          <w:lang w:val="ro-RO"/>
        </w:rPr>
      </w:pPr>
      <w:r>
        <w:rPr>
          <w:rFonts w:eastAsia="Carlito"/>
          <w:color w:val="20262B"/>
          <w:lang w:val="ro-RO"/>
        </w:rPr>
        <w:t>Democrațiile nu sunt obligate să rămână pasive în fața fraudei, violenței, finanțării ilegale, operațiunilor străine de influență sau manipulării coordonate. A proteja condițiile alegerilor libere nu este, prin definiție, represiune. Dreptul electoral, securitatea cibernetică și regulile de transparență există tocmai pentru ca preferința cetățeanului să se formeze și să se exprime într-un cadru cât mai liber.</w:t>
      </w:r>
    </w:p>
    <w:p w14:paraId="258A93B3" w14:textId="77777777" w:rsidR="00947D72" w:rsidRPr="00BD1DA7" w:rsidRDefault="00000000">
      <w:pPr>
        <w:rPr>
          <w:lang w:val="ro-RO"/>
        </w:rPr>
      </w:pPr>
      <w:r>
        <w:rPr>
          <w:rFonts w:eastAsia="Carlito"/>
          <w:color w:val="20262B"/>
          <w:lang w:val="ro-RO"/>
        </w:rPr>
        <w:t>Pericolul apare când formula „apărării democrației” substituie demonstrația. Cu cât o măsură afectează mai direct exprimarea politică sau finalitatea votului, cu atât statul trebuie să arate mai clar competența, necesitatea, proporționalitatea și proba. Secretul poate proteja surse și capabilități; nu poate deveni, fără limite, fundamentul unei decizii pe care cetățeanul nu o poate evalua.</w:t>
      </w:r>
    </w:p>
    <w:p w14:paraId="505107F4" w14:textId="77777777" w:rsidR="00947D72" w:rsidRPr="00BD1DA7" w:rsidRDefault="00000000">
      <w:pPr>
        <w:pStyle w:val="Heading2"/>
        <w:spacing w:before="160" w:after="100"/>
        <w:rPr>
          <w:lang w:val="ro-RO"/>
        </w:rPr>
      </w:pPr>
      <w:r>
        <w:rPr>
          <w:lang w:val="ro-RO"/>
        </w:rPr>
        <w:t>12.1 Cinci teste pentru o democrație care se apără fără să se golească de conținut</w:t>
      </w:r>
    </w:p>
    <w:p w14:paraId="4FAAF1E2" w14:textId="77777777" w:rsidR="00947D72" w:rsidRPr="00BD1DA7" w:rsidRDefault="00000000">
      <w:pPr>
        <w:spacing w:after="60"/>
        <w:rPr>
          <w:lang w:val="ro-RO"/>
        </w:rPr>
      </w:pPr>
      <w:r>
        <w:rPr>
          <w:color w:val="20262B"/>
          <w:sz w:val="21"/>
          <w:lang w:val="ro-RO"/>
        </w:rPr>
        <w:t>1.  Legalitate: competența și procedura trebuie să fie previzibile înainte de criză, nu construite ad hoc după rezultat.</w:t>
      </w:r>
    </w:p>
    <w:p w14:paraId="6C0E4790" w14:textId="77777777" w:rsidR="00947D72" w:rsidRPr="00BD1DA7" w:rsidRDefault="00000000">
      <w:pPr>
        <w:spacing w:after="60"/>
        <w:rPr>
          <w:lang w:val="ro-RO"/>
        </w:rPr>
      </w:pPr>
      <w:r>
        <w:rPr>
          <w:color w:val="20262B"/>
          <w:sz w:val="21"/>
          <w:lang w:val="ro-RO"/>
        </w:rPr>
        <w:t>2.  Probă: trebuie diferențiate suspiciunea, evaluarea de intelligence, constatarea administrativă și faptul stabilit judiciar.</w:t>
      </w:r>
    </w:p>
    <w:p w14:paraId="7ADC3EB1" w14:textId="77777777" w:rsidR="00947D72" w:rsidRPr="00BD1DA7" w:rsidRDefault="00000000">
      <w:pPr>
        <w:spacing w:after="60"/>
        <w:rPr>
          <w:lang w:val="ro-RO"/>
        </w:rPr>
      </w:pPr>
      <w:r>
        <w:rPr>
          <w:color w:val="20262B"/>
          <w:sz w:val="21"/>
          <w:lang w:val="ro-RO"/>
        </w:rPr>
        <w:t>3.  Necesitate și proporționalitate: remediul trebuie să răspundă riscului real și să fie cel mai puțin distructiv dintre opțiunile eficiente.</w:t>
      </w:r>
    </w:p>
    <w:p w14:paraId="6E5E1558" w14:textId="77777777" w:rsidR="00947D72" w:rsidRPr="00BD1DA7" w:rsidRDefault="00000000">
      <w:pPr>
        <w:spacing w:after="60"/>
        <w:rPr>
          <w:lang w:val="ro-RO"/>
        </w:rPr>
      </w:pPr>
      <w:r>
        <w:rPr>
          <w:color w:val="20262B"/>
          <w:sz w:val="21"/>
          <w:lang w:val="ro-RO"/>
        </w:rPr>
        <w:t>4.  Transparență și motivare: publicul trebuie să poată înțelege esența factuală și juridică a deciziei, chiar dacă anumite detalii rămân clasificate.</w:t>
      </w:r>
    </w:p>
    <w:p w14:paraId="2A65B35A" w14:textId="77777777" w:rsidR="00947D72" w:rsidRPr="00BD1DA7" w:rsidRDefault="00000000">
      <w:pPr>
        <w:spacing w:after="60"/>
        <w:rPr>
          <w:lang w:val="ro-RO"/>
        </w:rPr>
      </w:pPr>
      <w:r>
        <w:rPr>
          <w:color w:val="20262B"/>
          <w:sz w:val="21"/>
          <w:lang w:val="ro-RO"/>
        </w:rPr>
        <w:t>5.  Contestabilitate: persoanele și competitorii afectați trebuie să aibă, pe cât posibil, posibilitatea de a răspunde, de a aduce probe și de a cere control independent. [S7]</w:t>
      </w:r>
    </w:p>
    <w:p w14:paraId="1A9E4A35" w14:textId="77777777" w:rsidR="00947D72" w:rsidRPr="00BD1DA7" w:rsidRDefault="00000000">
      <w:pPr>
        <w:rPr>
          <w:lang w:val="ro-RO"/>
        </w:rPr>
      </w:pPr>
      <w:r>
        <w:rPr>
          <w:rFonts w:eastAsia="Carlito"/>
          <w:color w:val="20262B"/>
          <w:lang w:val="ro-RO"/>
        </w:rPr>
        <w:lastRenderedPageBreak/>
        <w:t>Aceste teste nu oferă un rezultat automat pentru cazul 2024, dar mută dezbaterea din registrul lozincilor într-unul verificabil. „A fost lovitură de stat” și „instituțiile au salvat democrația” sunt concluzii prea largi dacă nu sunt reconstruite pas cu pas prin aceste criterii.</w:t>
      </w:r>
    </w:p>
    <w:p w14:paraId="459183CF" w14:textId="77777777" w:rsidR="00947D72" w:rsidRPr="00BD1DA7" w:rsidRDefault="00000000">
      <w:pPr>
        <w:pStyle w:val="Heading1"/>
        <w:spacing w:before="220" w:after="100"/>
        <w:rPr>
          <w:lang w:val="ro-RO"/>
        </w:rPr>
      </w:pPr>
      <w:r>
        <w:rPr>
          <w:rFonts w:ascii="Carlito" w:eastAsia="Carlito" w:hAnsi="Carlito"/>
          <w:color w:val="17324D"/>
          <w:sz w:val="34"/>
          <w:lang w:val="ro-RO"/>
        </w:rPr>
        <w:t>Concluzii</w:t>
      </w:r>
    </w:p>
    <w:p w14:paraId="7A7A6AA5" w14:textId="77777777" w:rsidR="00947D72" w:rsidRPr="00BD1DA7" w:rsidRDefault="00000000">
      <w:pPr>
        <w:rPr>
          <w:lang w:val="ro-RO"/>
        </w:rPr>
      </w:pPr>
      <w:r>
        <w:rPr>
          <w:rFonts w:eastAsia="Carlito"/>
          <w:color w:val="20262B"/>
          <w:lang w:val="ro-RO"/>
        </w:rPr>
        <w:t>Evoluția controlului informațional în România este reală, dar nu este o poveste despre un mecanism unic care își schimbă doar costumul. Secolul XIX a combinat represiunea politică și controlul incipient al presei; prima jumătate a secolului XX a adus autoritarism, propagandă și, în timpul Holocaustului, persecuție și exterminare; comunismul a construit un sistem instituțional de cenzură și monopol ideologic; după 1989, interdicția constituțională a cenzurii a mutat centrul problemei spre independența editorială, piață, pluralism și, ulterior, platforme.</w:t>
      </w:r>
    </w:p>
    <w:p w14:paraId="455A42F6" w14:textId="77777777" w:rsidR="00947D72" w:rsidRPr="00BD1DA7" w:rsidRDefault="00000000">
      <w:pPr>
        <w:rPr>
          <w:lang w:val="ro-RO"/>
        </w:rPr>
      </w:pPr>
      <w:r>
        <w:rPr>
          <w:rFonts w:eastAsia="Carlito"/>
          <w:color w:val="20262B"/>
          <w:lang w:val="ro-RO"/>
        </w:rPr>
        <w:t>Era digitală nu înlocuiește libertatea cu o cenzură invizibilă totală. Ea produce un sistem mai ambiguu: accesul la publicare este larg, dar vizibilitatea este distribuită de infrastructuri private; utilizatorii pot contesta mai multe decizii decât într-un regim autoritar, dar nu pot vedea întotdeauna criteriile algoritmice; informația poate fi arhivată, dar atenția rămâne rară.</w:t>
      </w:r>
    </w:p>
    <w:p w14:paraId="32C7BD7F" w14:textId="77777777" w:rsidR="00947D72" w:rsidRPr="00BD1DA7" w:rsidRDefault="00000000">
      <w:pPr>
        <w:rPr>
          <w:lang w:val="ro-RO"/>
        </w:rPr>
      </w:pPr>
      <w:r>
        <w:rPr>
          <w:rFonts w:eastAsia="Carlito"/>
          <w:color w:val="20262B"/>
          <w:lang w:val="ro-RO"/>
        </w:rPr>
        <w:t>Criza electorală din 2024 nu trebuie absorbită într-o teză prestabilită. Hotărârea CCR nr. 32 este un act juridic real, definitiv și obligatoriu, motivat prin protejarea caracterului liber și corect al alegerilor. În același timp, caracterul excepțional al anulării, rolul informațiilor de securitate, întrebările procedurale și deficitul persistent de transparență justifică o examinare critică. Comisia de la Veneția arată că cele două idei nu se exclud: democrația trebuie să se poată apăra, dar măsura de apărare trebuie să fie excepțională, legală, motivată, probată și însoțită de garanții.</w:t>
      </w:r>
      <w:r>
        <w:rPr>
          <w:rFonts w:eastAsia="Carlito"/>
          <w:color w:val="2C6975"/>
          <w:sz w:val="16"/>
          <w:vertAlign w:val="superscript"/>
          <w:lang w:val="ro-RO"/>
        </w:rPr>
        <w:t xml:space="preserve"> [S6,S7]</w:t>
      </w:r>
    </w:p>
    <w:p w14:paraId="33BD7AB8" w14:textId="77777777" w:rsidR="00947D72" w:rsidRPr="00BD1DA7" w:rsidRDefault="00000000">
      <w:pPr>
        <w:rPr>
          <w:lang w:val="ro-RO"/>
        </w:rPr>
      </w:pPr>
      <w:r>
        <w:rPr>
          <w:b/>
          <w:lang w:val="ro-RO"/>
        </w:rPr>
        <w:t xml:space="preserve">În plan cultural, aceeași prudență se aplică memoriei. </w:t>
      </w:r>
      <w:r>
        <w:rPr>
          <w:lang w:val="ro-RO"/>
        </w:rPr>
        <w:t>Regimurile au manipulat trecutul atât prin interdicție, cât și prin canonizare selectivă. Societățile digitale adaugă o formă diferită de putere: sancțiunea reputațională poate mobiliza responsabilizarea publică, dar poate produce și autocenzură sau eliminarea disproporționată a unor voci. Răspunsul democratic nu este nici canonizarea, nici ștergerea, ci contextul, proporționalitatea și posibilitatea de contestare.</w:t>
      </w:r>
    </w:p>
    <w:p w14:paraId="0719A68F" w14:textId="77777777" w:rsidR="00947D72" w:rsidRPr="00BD1DA7" w:rsidRDefault="00000000">
      <w:pPr>
        <w:rPr>
          <w:lang w:val="ro-RO"/>
        </w:rPr>
      </w:pPr>
      <w:r>
        <w:rPr>
          <w:rFonts w:eastAsia="Carlito"/>
          <w:color w:val="20262B"/>
          <w:lang w:val="ro-RO"/>
        </w:rPr>
        <w:t>Teza revizuită este, așadar, mai modestă și mai robustă: sistemele de putere au un stimulent recurent de a influența informația, dar natura controlului depinde de instituții și de garanțiile epocii. Ceea ce trebuie urmărit nu este doar existența unei „dogme”, ci distribuția puterii de a decide cine vorbește, cine este auzit, după ce reguli și cu ce posibilitate de răspuns.</w:t>
      </w:r>
    </w:p>
    <w:tbl>
      <w:tblPr>
        <w:tblW w:w="0" w:type="auto"/>
        <w:jc w:val="center"/>
        <w:tblBorders>
          <w:top w:val="single" w:sz="8" w:space="0" w:color="356B4E"/>
          <w:left w:val="single" w:sz="8" w:space="0" w:color="356B4E"/>
          <w:bottom w:val="single" w:sz="8" w:space="0" w:color="356B4E"/>
          <w:right w:val="single" w:sz="8" w:space="0" w:color="356B4E"/>
          <w:insideH w:val="single" w:sz="8" w:space="0" w:color="356B4E"/>
          <w:insideV w:val="single" w:sz="8" w:space="0" w:color="356B4E"/>
        </w:tblBorders>
        <w:tblLook w:val="04A0" w:firstRow="1" w:lastRow="0" w:firstColumn="1" w:lastColumn="0" w:noHBand="0" w:noVBand="1"/>
      </w:tblPr>
      <w:tblGrid>
        <w:gridCol w:w="9858"/>
      </w:tblGrid>
      <w:tr w:rsidR="00947D72" w:rsidRPr="00BD1DA7" w14:paraId="4EE6CBCD" w14:textId="77777777">
        <w:trPr>
          <w:cantSplit/>
          <w:tblHeader/>
          <w:jc w:val="center"/>
        </w:trPr>
        <w:tc>
          <w:tcPr>
            <w:tcW w:w="9878" w:type="dxa"/>
            <w:shd w:val="clear" w:color="auto" w:fill="D9E2F3"/>
            <w:tcMar>
              <w:top w:w="90" w:type="dxa"/>
              <w:left w:w="110" w:type="dxa"/>
              <w:bottom w:w="90" w:type="dxa"/>
              <w:right w:w="110" w:type="dxa"/>
            </w:tcMar>
            <w:vAlign w:val="center"/>
          </w:tcPr>
          <w:p w14:paraId="7E177AE3" w14:textId="77777777" w:rsidR="00947D72" w:rsidRPr="00BD1DA7" w:rsidRDefault="00000000">
            <w:pPr>
              <w:spacing w:after="0"/>
              <w:rPr>
                <w:lang w:val="ro-RO"/>
              </w:rPr>
            </w:pPr>
            <w:r>
              <w:rPr>
                <w:rFonts w:eastAsia="Carlito"/>
                <w:b/>
                <w:color w:val="356B4E"/>
                <w:sz w:val="19"/>
                <w:lang w:val="ro-RO"/>
              </w:rPr>
              <w:t>Formula finală</w:t>
            </w:r>
          </w:p>
          <w:p w14:paraId="65D2467B" w14:textId="77777777" w:rsidR="00947D72" w:rsidRPr="00BD1DA7" w:rsidRDefault="00000000">
            <w:pPr>
              <w:spacing w:after="0" w:line="252" w:lineRule="auto"/>
              <w:rPr>
                <w:lang w:val="ro-RO"/>
              </w:rPr>
            </w:pPr>
            <w:r>
              <w:rPr>
                <w:rFonts w:eastAsia="Carlito"/>
                <w:b/>
                <w:color w:val="20262B"/>
                <w:sz w:val="19"/>
                <w:lang w:val="ro-RO"/>
              </w:rPr>
              <w:t>În era digitală, libertatea nu se măsoară numai prin dreptul de a vorbi. Se măsoară și prin transparența regulilor care distribuie vizibilitatea, prin pluralitatea centrelor de putere și prin posibilitatea reală de a contesta deciziile care ne reduc vocea.</w:t>
            </w:r>
          </w:p>
        </w:tc>
      </w:tr>
    </w:tbl>
    <w:p w14:paraId="07255FA0" w14:textId="77777777" w:rsidR="00947D72" w:rsidRPr="00BD1DA7" w:rsidRDefault="00947D72">
      <w:pPr>
        <w:spacing w:after="20"/>
        <w:rPr>
          <w:lang w:val="ro-RO"/>
        </w:rPr>
      </w:pPr>
    </w:p>
    <w:p w14:paraId="3FD24309" w14:textId="77777777" w:rsidR="00947D72" w:rsidRPr="00BD1DA7" w:rsidRDefault="00000000">
      <w:pPr>
        <w:pStyle w:val="Heading1"/>
        <w:spacing w:before="220" w:after="100"/>
        <w:rPr>
          <w:lang w:val="ro-RO"/>
        </w:rPr>
      </w:pPr>
      <w:r>
        <w:rPr>
          <w:rFonts w:ascii="Carlito" w:eastAsia="Carlito" w:hAnsi="Carlito"/>
          <w:color w:val="17324D"/>
          <w:sz w:val="34"/>
          <w:lang w:val="ro-RO"/>
        </w:rPr>
        <w:t>Anexa A. Corecții față de versiunea inițială</w:t>
      </w:r>
    </w:p>
    <w:tbl>
      <w:tblPr>
        <w:tblW w:w="0" w:type="auto"/>
        <w:jc w:val="center"/>
        <w:tblBorders>
          <w:top w:val="single" w:sz="6" w:space="0" w:color="CBD5DB"/>
          <w:left w:val="single" w:sz="6" w:space="0" w:color="CBD5DB"/>
          <w:bottom w:val="single" w:sz="6" w:space="0" w:color="CBD5DB"/>
          <w:right w:val="single" w:sz="6" w:space="0" w:color="CBD5DB"/>
          <w:insideH w:val="single" w:sz="6" w:space="0" w:color="CBD5DB"/>
          <w:insideV w:val="single" w:sz="6" w:space="0" w:color="CBD5DB"/>
        </w:tblBorders>
        <w:tblLayout w:type="fixed"/>
        <w:tblLook w:val="04A0" w:firstRow="1" w:lastRow="0" w:firstColumn="1" w:lastColumn="0" w:noHBand="0" w:noVBand="1"/>
      </w:tblPr>
      <w:tblGrid>
        <w:gridCol w:w="3384"/>
        <w:gridCol w:w="3960"/>
        <w:gridCol w:w="3293"/>
      </w:tblGrid>
      <w:tr w:rsidR="00947D72" w:rsidRPr="00BD1DA7" w14:paraId="7B4AF595" w14:textId="77777777">
        <w:trPr>
          <w:cantSplit/>
          <w:tblHeader/>
          <w:jc w:val="center"/>
        </w:trPr>
        <w:tc>
          <w:tcPr>
            <w:tcW w:w="3384" w:type="dxa"/>
            <w:shd w:val="clear" w:color="auto" w:fill="D9E2F3"/>
            <w:tcMar>
              <w:top w:w="90" w:type="dxa"/>
              <w:left w:w="110" w:type="dxa"/>
              <w:bottom w:w="90" w:type="dxa"/>
              <w:right w:w="110" w:type="dxa"/>
            </w:tcMar>
            <w:vAlign w:val="center"/>
          </w:tcPr>
          <w:p w14:paraId="006275CF" w14:textId="77777777" w:rsidR="00947D72" w:rsidRPr="00BD1DA7" w:rsidRDefault="00000000">
            <w:pPr>
              <w:spacing w:after="0"/>
              <w:jc w:val="center"/>
              <w:rPr>
                <w:lang w:val="ro-RO"/>
              </w:rPr>
            </w:pPr>
            <w:r>
              <w:rPr>
                <w:rFonts w:eastAsia="Carlito"/>
                <w:b/>
                <w:color w:val="FFFFFF"/>
                <w:sz w:val="19"/>
                <w:lang w:val="ro-RO"/>
              </w:rPr>
              <w:t>Afirmație / abordare inițială</w:t>
            </w:r>
          </w:p>
        </w:tc>
        <w:tc>
          <w:tcPr>
            <w:tcW w:w="3960" w:type="dxa"/>
            <w:shd w:val="clear" w:color="auto" w:fill="D9E2F3"/>
            <w:tcMar>
              <w:top w:w="90" w:type="dxa"/>
              <w:left w:w="110" w:type="dxa"/>
              <w:bottom w:w="90" w:type="dxa"/>
              <w:right w:w="110" w:type="dxa"/>
            </w:tcMar>
            <w:vAlign w:val="center"/>
          </w:tcPr>
          <w:p w14:paraId="5C4E28E4" w14:textId="77777777" w:rsidR="00947D72" w:rsidRPr="00BD1DA7" w:rsidRDefault="00000000">
            <w:pPr>
              <w:spacing w:after="0"/>
              <w:jc w:val="center"/>
              <w:rPr>
                <w:lang w:val="ro-RO"/>
              </w:rPr>
            </w:pPr>
            <w:r>
              <w:rPr>
                <w:rFonts w:eastAsia="Carlito"/>
                <w:b/>
                <w:color w:val="FFFFFF"/>
                <w:sz w:val="19"/>
                <w:lang w:val="ro-RO"/>
              </w:rPr>
              <w:t>Corecție în ediția revizuită</w:t>
            </w:r>
          </w:p>
        </w:tc>
        <w:tc>
          <w:tcPr>
            <w:tcW w:w="2808" w:type="dxa"/>
            <w:shd w:val="clear" w:color="auto" w:fill="D9E2F3"/>
            <w:tcMar>
              <w:top w:w="90" w:type="dxa"/>
              <w:left w:w="110" w:type="dxa"/>
              <w:bottom w:w="90" w:type="dxa"/>
              <w:right w:w="110" w:type="dxa"/>
            </w:tcMar>
            <w:vAlign w:val="center"/>
          </w:tcPr>
          <w:p w14:paraId="3D83907E" w14:textId="77777777" w:rsidR="00947D72" w:rsidRPr="00BD1DA7" w:rsidRDefault="00000000">
            <w:pPr>
              <w:spacing w:after="0"/>
              <w:jc w:val="center"/>
              <w:rPr>
                <w:lang w:val="ro-RO"/>
              </w:rPr>
            </w:pPr>
            <w:r>
              <w:rPr>
                <w:rFonts w:eastAsia="Carlito"/>
                <w:b/>
                <w:color w:val="FFFFFF"/>
                <w:sz w:val="19"/>
                <w:lang w:val="ro-RO"/>
              </w:rPr>
              <w:t>Motiv</w:t>
            </w:r>
          </w:p>
        </w:tc>
      </w:tr>
      <w:tr w:rsidR="00947D72" w:rsidRPr="00BD1DA7" w14:paraId="57AD9E63" w14:textId="77777777">
        <w:trPr>
          <w:cantSplit/>
          <w:jc w:val="center"/>
        </w:trPr>
        <w:tc>
          <w:tcPr>
            <w:tcW w:w="3384" w:type="dxa"/>
            <w:tcMar>
              <w:top w:w="90" w:type="dxa"/>
              <w:left w:w="110" w:type="dxa"/>
              <w:bottom w:w="90" w:type="dxa"/>
              <w:right w:w="110" w:type="dxa"/>
            </w:tcMar>
            <w:vAlign w:val="center"/>
          </w:tcPr>
          <w:p w14:paraId="05BC3DBC" w14:textId="77777777" w:rsidR="00947D72" w:rsidRPr="00BD1DA7" w:rsidRDefault="00000000">
            <w:pPr>
              <w:spacing w:after="0" w:line="240" w:lineRule="auto"/>
              <w:rPr>
                <w:lang w:val="ro-RO"/>
              </w:rPr>
            </w:pPr>
            <w:r>
              <w:rPr>
                <w:rFonts w:eastAsia="Carlito"/>
                <w:color w:val="20262B"/>
                <w:sz w:val="19"/>
                <w:lang w:val="ro-RO"/>
              </w:rPr>
              <w:t>Tudor Vladimirescu - „capitalist”, „piață liberă”, apoi „proto-marxist”</w:t>
            </w:r>
          </w:p>
        </w:tc>
        <w:tc>
          <w:tcPr>
            <w:tcW w:w="3960" w:type="dxa"/>
            <w:tcMar>
              <w:top w:w="90" w:type="dxa"/>
              <w:left w:w="110" w:type="dxa"/>
              <w:bottom w:w="90" w:type="dxa"/>
              <w:right w:w="110" w:type="dxa"/>
            </w:tcMar>
            <w:vAlign w:val="center"/>
          </w:tcPr>
          <w:p w14:paraId="2198F84A" w14:textId="77777777" w:rsidR="00947D72" w:rsidRPr="00BD1DA7" w:rsidRDefault="00000000">
            <w:pPr>
              <w:spacing w:after="0" w:line="240" w:lineRule="auto"/>
              <w:rPr>
                <w:lang w:val="ro-RO"/>
              </w:rPr>
            </w:pPr>
            <w:r>
              <w:rPr>
                <w:rFonts w:eastAsia="Carlito"/>
                <w:color w:val="20262B"/>
                <w:sz w:val="19"/>
                <w:lang w:val="ro-RO"/>
              </w:rPr>
              <w:t>Se elimină etichetele anacronice și opoziția simplificatoare.</w:t>
            </w:r>
          </w:p>
        </w:tc>
        <w:tc>
          <w:tcPr>
            <w:tcW w:w="2808" w:type="dxa"/>
            <w:tcMar>
              <w:top w:w="90" w:type="dxa"/>
              <w:left w:w="110" w:type="dxa"/>
              <w:bottom w:w="90" w:type="dxa"/>
              <w:right w:w="110" w:type="dxa"/>
            </w:tcMar>
            <w:vAlign w:val="center"/>
          </w:tcPr>
          <w:p w14:paraId="047A020F" w14:textId="77777777" w:rsidR="00947D72" w:rsidRPr="00BD1DA7" w:rsidRDefault="00000000">
            <w:pPr>
              <w:spacing w:after="0" w:line="240" w:lineRule="auto"/>
              <w:rPr>
                <w:lang w:val="ro-RO"/>
              </w:rPr>
            </w:pPr>
            <w:r>
              <w:rPr>
                <w:rFonts w:eastAsia="Carlito"/>
                <w:color w:val="20262B"/>
                <w:sz w:val="19"/>
                <w:lang w:val="ro-RO"/>
              </w:rPr>
              <w:t>Necesită demonstrație istoriografică pe surse, nu analogie ideologică.</w:t>
            </w:r>
          </w:p>
        </w:tc>
      </w:tr>
      <w:tr w:rsidR="00947D72" w:rsidRPr="00BD1DA7" w14:paraId="5BEEA1C0" w14:textId="77777777">
        <w:trPr>
          <w:cantSplit/>
          <w:jc w:val="center"/>
        </w:trPr>
        <w:tc>
          <w:tcPr>
            <w:tcW w:w="3384" w:type="dxa"/>
            <w:shd w:val="clear" w:color="auto" w:fill="F5F7F8"/>
            <w:tcMar>
              <w:top w:w="90" w:type="dxa"/>
              <w:left w:w="110" w:type="dxa"/>
              <w:bottom w:w="90" w:type="dxa"/>
              <w:right w:w="110" w:type="dxa"/>
            </w:tcMar>
            <w:vAlign w:val="center"/>
          </w:tcPr>
          <w:p w14:paraId="3AA22ADC" w14:textId="77777777" w:rsidR="00947D72" w:rsidRPr="00BD1DA7" w:rsidRDefault="00000000">
            <w:pPr>
              <w:spacing w:after="0" w:line="240" w:lineRule="auto"/>
              <w:rPr>
                <w:lang w:val="ro-RO"/>
              </w:rPr>
            </w:pPr>
            <w:r>
              <w:rPr>
                <w:rFonts w:eastAsia="Carlito"/>
                <w:color w:val="20262B"/>
                <w:sz w:val="19"/>
                <w:lang w:val="ro-RO"/>
              </w:rPr>
              <w:t>Asasinarea politică = cenzură</w:t>
            </w:r>
          </w:p>
        </w:tc>
        <w:tc>
          <w:tcPr>
            <w:tcW w:w="3960" w:type="dxa"/>
            <w:shd w:val="clear" w:color="auto" w:fill="F5F7F8"/>
            <w:tcMar>
              <w:top w:w="90" w:type="dxa"/>
              <w:left w:w="110" w:type="dxa"/>
              <w:bottom w:w="90" w:type="dxa"/>
              <w:right w:w="110" w:type="dxa"/>
            </w:tcMar>
            <w:vAlign w:val="center"/>
          </w:tcPr>
          <w:p w14:paraId="7A530D2A" w14:textId="77777777" w:rsidR="00947D72" w:rsidRPr="00BD1DA7" w:rsidRDefault="00000000">
            <w:pPr>
              <w:spacing w:after="0" w:line="240" w:lineRule="auto"/>
              <w:rPr>
                <w:lang w:val="ro-RO"/>
              </w:rPr>
            </w:pPr>
            <w:r>
              <w:rPr>
                <w:rFonts w:eastAsia="Carlito"/>
                <w:color w:val="20262B"/>
                <w:sz w:val="19"/>
                <w:lang w:val="ro-RO"/>
              </w:rPr>
              <w:t>Represiunea politică este separată de cenzura expresiei.</w:t>
            </w:r>
          </w:p>
        </w:tc>
        <w:tc>
          <w:tcPr>
            <w:tcW w:w="2808" w:type="dxa"/>
            <w:shd w:val="clear" w:color="auto" w:fill="F5F7F8"/>
            <w:tcMar>
              <w:top w:w="90" w:type="dxa"/>
              <w:left w:w="110" w:type="dxa"/>
              <w:bottom w:w="90" w:type="dxa"/>
              <w:right w:w="110" w:type="dxa"/>
            </w:tcMar>
            <w:vAlign w:val="center"/>
          </w:tcPr>
          <w:p w14:paraId="5F2CFCE4" w14:textId="77777777" w:rsidR="00947D72" w:rsidRPr="00BD1DA7" w:rsidRDefault="00000000">
            <w:pPr>
              <w:spacing w:after="0" w:line="240" w:lineRule="auto"/>
              <w:rPr>
                <w:lang w:val="ro-RO"/>
              </w:rPr>
            </w:pPr>
            <w:r>
              <w:rPr>
                <w:rFonts w:eastAsia="Carlito"/>
                <w:color w:val="20262B"/>
                <w:sz w:val="19"/>
                <w:lang w:val="ro-RO"/>
              </w:rPr>
              <w:t>Categorii instituționale și juridice diferite.</w:t>
            </w:r>
          </w:p>
        </w:tc>
      </w:tr>
      <w:tr w:rsidR="00947D72" w:rsidRPr="00BD1DA7" w14:paraId="046FE74F" w14:textId="77777777">
        <w:trPr>
          <w:cantSplit/>
          <w:jc w:val="center"/>
        </w:trPr>
        <w:tc>
          <w:tcPr>
            <w:tcW w:w="3384" w:type="dxa"/>
            <w:tcMar>
              <w:top w:w="90" w:type="dxa"/>
              <w:left w:w="110" w:type="dxa"/>
              <w:bottom w:w="90" w:type="dxa"/>
              <w:right w:w="110" w:type="dxa"/>
            </w:tcMar>
            <w:vAlign w:val="center"/>
          </w:tcPr>
          <w:p w14:paraId="6CC0244E" w14:textId="77777777" w:rsidR="00947D72" w:rsidRPr="00BD1DA7" w:rsidRDefault="00000000">
            <w:pPr>
              <w:spacing w:after="0" w:line="240" w:lineRule="auto"/>
              <w:rPr>
                <w:lang w:val="ro-RO"/>
              </w:rPr>
            </w:pPr>
            <w:r>
              <w:rPr>
                <w:rFonts w:eastAsia="Carlito"/>
                <w:color w:val="20262B"/>
                <w:sz w:val="19"/>
                <w:lang w:val="ro-RO"/>
              </w:rPr>
              <w:t>Octavian Goga „încarcerat în 1911”</w:t>
            </w:r>
          </w:p>
        </w:tc>
        <w:tc>
          <w:tcPr>
            <w:tcW w:w="3960" w:type="dxa"/>
            <w:tcMar>
              <w:top w:w="90" w:type="dxa"/>
              <w:left w:w="110" w:type="dxa"/>
              <w:bottom w:w="90" w:type="dxa"/>
              <w:right w:w="110" w:type="dxa"/>
            </w:tcMar>
            <w:vAlign w:val="center"/>
          </w:tcPr>
          <w:p w14:paraId="223DB135" w14:textId="77777777" w:rsidR="00947D72" w:rsidRPr="00BD1DA7" w:rsidRDefault="00000000">
            <w:pPr>
              <w:spacing w:after="0" w:line="240" w:lineRule="auto"/>
              <w:rPr>
                <w:lang w:val="ro-RO"/>
              </w:rPr>
            </w:pPr>
            <w:r>
              <w:rPr>
                <w:rFonts w:eastAsia="Carlito"/>
                <w:color w:val="20262B"/>
                <w:sz w:val="19"/>
                <w:lang w:val="ro-RO"/>
              </w:rPr>
              <w:t>Se distinge procesul/urmărirea din 1911 de detenția din 1912.</w:t>
            </w:r>
          </w:p>
        </w:tc>
        <w:tc>
          <w:tcPr>
            <w:tcW w:w="2808" w:type="dxa"/>
            <w:tcMar>
              <w:top w:w="90" w:type="dxa"/>
              <w:left w:w="110" w:type="dxa"/>
              <w:bottom w:w="90" w:type="dxa"/>
              <w:right w:w="110" w:type="dxa"/>
            </w:tcMar>
            <w:vAlign w:val="center"/>
          </w:tcPr>
          <w:p w14:paraId="33C4153F" w14:textId="77777777" w:rsidR="00947D72" w:rsidRPr="00BD1DA7" w:rsidRDefault="00000000">
            <w:pPr>
              <w:spacing w:after="0" w:line="240" w:lineRule="auto"/>
              <w:rPr>
                <w:lang w:val="ro-RO"/>
              </w:rPr>
            </w:pPr>
            <w:r>
              <w:rPr>
                <w:rFonts w:eastAsia="Carlito"/>
                <w:color w:val="20262B"/>
                <w:sz w:val="19"/>
                <w:lang w:val="ro-RO"/>
              </w:rPr>
              <w:t>Corecție cronologică.</w:t>
            </w:r>
          </w:p>
        </w:tc>
      </w:tr>
      <w:tr w:rsidR="00947D72" w:rsidRPr="00BD1DA7" w14:paraId="04B9F4C8" w14:textId="77777777">
        <w:trPr>
          <w:cantSplit/>
          <w:jc w:val="center"/>
        </w:trPr>
        <w:tc>
          <w:tcPr>
            <w:tcW w:w="3384" w:type="dxa"/>
            <w:shd w:val="clear" w:color="auto" w:fill="F5F7F8"/>
            <w:tcMar>
              <w:top w:w="90" w:type="dxa"/>
              <w:left w:w="110" w:type="dxa"/>
              <w:bottom w:w="90" w:type="dxa"/>
              <w:right w:w="110" w:type="dxa"/>
            </w:tcMar>
            <w:vAlign w:val="center"/>
          </w:tcPr>
          <w:p w14:paraId="540977DF" w14:textId="77777777" w:rsidR="00947D72" w:rsidRPr="00BD1DA7" w:rsidRDefault="00000000">
            <w:pPr>
              <w:spacing w:after="0" w:line="240" w:lineRule="auto"/>
              <w:rPr>
                <w:lang w:val="ro-RO"/>
              </w:rPr>
            </w:pPr>
            <w:r>
              <w:rPr>
                <w:rFonts w:eastAsia="Carlito"/>
                <w:color w:val="20262B"/>
                <w:sz w:val="19"/>
                <w:lang w:val="ro-RO"/>
              </w:rPr>
              <w:lastRenderedPageBreak/>
              <w:t>Tristan Tzara „forțat în exil”</w:t>
            </w:r>
          </w:p>
        </w:tc>
        <w:tc>
          <w:tcPr>
            <w:tcW w:w="3960" w:type="dxa"/>
            <w:shd w:val="clear" w:color="auto" w:fill="F5F7F8"/>
            <w:tcMar>
              <w:top w:w="90" w:type="dxa"/>
              <w:left w:w="110" w:type="dxa"/>
              <w:bottom w:w="90" w:type="dxa"/>
              <w:right w:w="110" w:type="dxa"/>
            </w:tcMar>
            <w:vAlign w:val="center"/>
          </w:tcPr>
          <w:p w14:paraId="0A488C5E" w14:textId="77777777" w:rsidR="00947D72" w:rsidRPr="00BD1DA7" w:rsidRDefault="00000000">
            <w:pPr>
              <w:spacing w:after="0" w:line="240" w:lineRule="auto"/>
              <w:rPr>
                <w:lang w:val="ro-RO"/>
              </w:rPr>
            </w:pPr>
            <w:r>
              <w:rPr>
                <w:rFonts w:eastAsia="Carlito"/>
                <w:color w:val="20262B"/>
                <w:sz w:val="19"/>
                <w:lang w:val="ro-RO"/>
              </w:rPr>
              <w:t>Afirmația este retrasă; plecarea din 1915 nu este tratată drept exil forțat demonstrat.</w:t>
            </w:r>
          </w:p>
        </w:tc>
        <w:tc>
          <w:tcPr>
            <w:tcW w:w="2808" w:type="dxa"/>
            <w:shd w:val="clear" w:color="auto" w:fill="F5F7F8"/>
            <w:tcMar>
              <w:top w:w="90" w:type="dxa"/>
              <w:left w:w="110" w:type="dxa"/>
              <w:bottom w:w="90" w:type="dxa"/>
              <w:right w:w="110" w:type="dxa"/>
            </w:tcMar>
            <w:vAlign w:val="center"/>
          </w:tcPr>
          <w:p w14:paraId="1C3DAA46" w14:textId="77777777" w:rsidR="00947D72" w:rsidRPr="00BD1DA7" w:rsidRDefault="00000000">
            <w:pPr>
              <w:spacing w:after="0" w:line="240" w:lineRule="auto"/>
              <w:rPr>
                <w:lang w:val="ro-RO"/>
              </w:rPr>
            </w:pPr>
            <w:r>
              <w:rPr>
                <w:rFonts w:eastAsia="Carlito"/>
                <w:color w:val="20262B"/>
                <w:sz w:val="19"/>
                <w:lang w:val="ro-RO"/>
              </w:rPr>
              <w:t>Biografiile standard nu susțin suficient formula.</w:t>
            </w:r>
          </w:p>
        </w:tc>
      </w:tr>
      <w:tr w:rsidR="00947D72" w:rsidRPr="00BD1DA7" w14:paraId="0399BE13" w14:textId="77777777">
        <w:trPr>
          <w:cantSplit/>
          <w:jc w:val="center"/>
        </w:trPr>
        <w:tc>
          <w:tcPr>
            <w:tcW w:w="3384" w:type="dxa"/>
            <w:tcMar>
              <w:top w:w="90" w:type="dxa"/>
              <w:left w:w="110" w:type="dxa"/>
              <w:bottom w:w="90" w:type="dxa"/>
              <w:right w:w="110" w:type="dxa"/>
            </w:tcMar>
            <w:vAlign w:val="center"/>
          </w:tcPr>
          <w:p w14:paraId="6CF05CB8" w14:textId="77777777" w:rsidR="00947D72" w:rsidRPr="00BD1DA7" w:rsidRDefault="00000000">
            <w:pPr>
              <w:spacing w:after="0" w:line="240" w:lineRule="auto"/>
              <w:rPr>
                <w:lang w:val="ro-RO"/>
              </w:rPr>
            </w:pPr>
            <w:r>
              <w:rPr>
                <w:rFonts w:eastAsia="Carlito"/>
                <w:color w:val="20262B"/>
                <w:sz w:val="19"/>
                <w:lang w:val="ro-RO"/>
              </w:rPr>
              <w:t>Fundoianu: „fascismul a cenzurat prin eliminare”</w:t>
            </w:r>
          </w:p>
        </w:tc>
        <w:tc>
          <w:tcPr>
            <w:tcW w:w="3960" w:type="dxa"/>
            <w:tcMar>
              <w:top w:w="90" w:type="dxa"/>
              <w:left w:w="110" w:type="dxa"/>
              <w:bottom w:w="90" w:type="dxa"/>
              <w:right w:w="110" w:type="dxa"/>
            </w:tcMar>
            <w:vAlign w:val="center"/>
          </w:tcPr>
          <w:p w14:paraId="5C21E44C" w14:textId="77777777" w:rsidR="00947D72" w:rsidRPr="00BD1DA7" w:rsidRDefault="00000000">
            <w:pPr>
              <w:spacing w:after="0" w:line="240" w:lineRule="auto"/>
              <w:rPr>
                <w:lang w:val="ro-RO"/>
              </w:rPr>
            </w:pPr>
            <w:r>
              <w:rPr>
                <w:rFonts w:eastAsia="Carlito"/>
                <w:color w:val="20262B"/>
                <w:sz w:val="19"/>
                <w:lang w:val="ro-RO"/>
              </w:rPr>
              <w:t>Holocaustul este analizat ca persecuție și genocid; propaganda este componentă separată.</w:t>
            </w:r>
          </w:p>
        </w:tc>
        <w:tc>
          <w:tcPr>
            <w:tcW w:w="2808" w:type="dxa"/>
            <w:tcMar>
              <w:top w:w="90" w:type="dxa"/>
              <w:left w:w="110" w:type="dxa"/>
              <w:bottom w:w="90" w:type="dxa"/>
              <w:right w:w="110" w:type="dxa"/>
            </w:tcMar>
            <w:vAlign w:val="center"/>
          </w:tcPr>
          <w:p w14:paraId="1B400F5A" w14:textId="77777777" w:rsidR="00947D72" w:rsidRPr="00BD1DA7" w:rsidRDefault="00000000">
            <w:pPr>
              <w:spacing w:after="0" w:line="240" w:lineRule="auto"/>
              <w:rPr>
                <w:lang w:val="ro-RO"/>
              </w:rPr>
            </w:pPr>
            <w:r>
              <w:rPr>
                <w:rFonts w:eastAsia="Carlito"/>
                <w:color w:val="20262B"/>
                <w:sz w:val="19"/>
                <w:lang w:val="ro-RO"/>
              </w:rPr>
              <w:t>Evitarea trivializării și a echivalenței false.</w:t>
            </w:r>
          </w:p>
        </w:tc>
      </w:tr>
      <w:tr w:rsidR="00947D72" w:rsidRPr="00BD1DA7" w14:paraId="48773F17" w14:textId="77777777">
        <w:trPr>
          <w:cantSplit/>
          <w:jc w:val="center"/>
        </w:trPr>
        <w:tc>
          <w:tcPr>
            <w:tcW w:w="3384" w:type="dxa"/>
            <w:shd w:val="clear" w:color="auto" w:fill="F5F7F8"/>
            <w:tcMar>
              <w:top w:w="90" w:type="dxa"/>
              <w:left w:w="110" w:type="dxa"/>
              <w:bottom w:w="90" w:type="dxa"/>
              <w:right w:w="110" w:type="dxa"/>
            </w:tcMar>
            <w:vAlign w:val="center"/>
          </w:tcPr>
          <w:p w14:paraId="3C1D923B" w14:textId="77777777" w:rsidR="00947D72" w:rsidRPr="00BD1DA7" w:rsidRDefault="00000000">
            <w:pPr>
              <w:spacing w:after="0" w:line="240" w:lineRule="auto"/>
              <w:rPr>
                <w:lang w:val="ro-RO"/>
              </w:rPr>
            </w:pPr>
            <w:r>
              <w:rPr>
                <w:rFonts w:eastAsia="Carlito"/>
                <w:color w:val="20262B"/>
                <w:sz w:val="19"/>
                <w:lang w:val="ro-RO"/>
              </w:rPr>
              <w:t>Gyr și Voiculescu grupați ca același caz de „reeducare”</w:t>
            </w:r>
          </w:p>
        </w:tc>
        <w:tc>
          <w:tcPr>
            <w:tcW w:w="3960" w:type="dxa"/>
            <w:shd w:val="clear" w:color="auto" w:fill="F5F7F8"/>
            <w:tcMar>
              <w:top w:w="90" w:type="dxa"/>
              <w:left w:w="110" w:type="dxa"/>
              <w:bottom w:w="90" w:type="dxa"/>
              <w:right w:w="110" w:type="dxa"/>
            </w:tcMar>
            <w:vAlign w:val="center"/>
          </w:tcPr>
          <w:p w14:paraId="557FA52B" w14:textId="77777777" w:rsidR="00947D72" w:rsidRPr="00BD1DA7" w:rsidRDefault="00000000">
            <w:pPr>
              <w:spacing w:after="0" w:line="240" w:lineRule="auto"/>
              <w:rPr>
                <w:lang w:val="ro-RO"/>
              </w:rPr>
            </w:pPr>
            <w:r>
              <w:rPr>
                <w:rFonts w:eastAsia="Carlito"/>
                <w:color w:val="20262B"/>
                <w:sz w:val="19"/>
                <w:lang w:val="ro-RO"/>
              </w:rPr>
              <w:t>Sunt separate biografiile, acuzațiile și formele de represiune.</w:t>
            </w:r>
          </w:p>
        </w:tc>
        <w:tc>
          <w:tcPr>
            <w:tcW w:w="2808" w:type="dxa"/>
            <w:shd w:val="clear" w:color="auto" w:fill="F5F7F8"/>
            <w:tcMar>
              <w:top w:w="90" w:type="dxa"/>
              <w:left w:w="110" w:type="dxa"/>
              <w:bottom w:w="90" w:type="dxa"/>
              <w:right w:w="110" w:type="dxa"/>
            </w:tcMar>
            <w:vAlign w:val="center"/>
          </w:tcPr>
          <w:p w14:paraId="1CF04441" w14:textId="77777777" w:rsidR="00947D72" w:rsidRPr="00BD1DA7" w:rsidRDefault="00000000">
            <w:pPr>
              <w:spacing w:after="0" w:line="240" w:lineRule="auto"/>
              <w:rPr>
                <w:lang w:val="ro-RO"/>
              </w:rPr>
            </w:pPr>
            <w:r>
              <w:rPr>
                <w:rFonts w:eastAsia="Carlito"/>
                <w:color w:val="20262B"/>
                <w:sz w:val="19"/>
                <w:lang w:val="ro-RO"/>
              </w:rPr>
              <w:t>Trasee istorice și judiciare diferite.</w:t>
            </w:r>
          </w:p>
        </w:tc>
      </w:tr>
      <w:tr w:rsidR="00947D72" w:rsidRPr="00BD1DA7" w14:paraId="0BE9C485" w14:textId="77777777">
        <w:trPr>
          <w:cantSplit/>
          <w:jc w:val="center"/>
        </w:trPr>
        <w:tc>
          <w:tcPr>
            <w:tcW w:w="3384" w:type="dxa"/>
            <w:tcMar>
              <w:top w:w="90" w:type="dxa"/>
              <w:left w:w="110" w:type="dxa"/>
              <w:bottom w:w="90" w:type="dxa"/>
              <w:right w:w="110" w:type="dxa"/>
            </w:tcMar>
            <w:vAlign w:val="center"/>
          </w:tcPr>
          <w:p w14:paraId="21BC2827" w14:textId="77777777" w:rsidR="00947D72" w:rsidRPr="00BD1DA7" w:rsidRDefault="00000000">
            <w:pPr>
              <w:spacing w:after="0" w:line="240" w:lineRule="auto"/>
              <w:rPr>
                <w:lang w:val="ro-RO"/>
              </w:rPr>
            </w:pPr>
            <w:r>
              <w:rPr>
                <w:rFonts w:eastAsia="Carlito"/>
                <w:color w:val="20262B"/>
                <w:sz w:val="19"/>
                <w:lang w:val="ro-RO"/>
              </w:rPr>
              <w:t>„Regulile platformelor sunt irecuzabile”</w:t>
            </w:r>
          </w:p>
        </w:tc>
        <w:tc>
          <w:tcPr>
            <w:tcW w:w="3960" w:type="dxa"/>
            <w:tcMar>
              <w:top w:w="90" w:type="dxa"/>
              <w:left w:w="110" w:type="dxa"/>
              <w:bottom w:w="90" w:type="dxa"/>
              <w:right w:w="110" w:type="dxa"/>
            </w:tcMar>
            <w:vAlign w:val="center"/>
          </w:tcPr>
          <w:p w14:paraId="4A5D2EFE" w14:textId="77777777" w:rsidR="00947D72" w:rsidRPr="00BD1DA7" w:rsidRDefault="00000000">
            <w:pPr>
              <w:spacing w:after="0" w:line="240" w:lineRule="auto"/>
              <w:rPr>
                <w:lang w:val="ro-RO"/>
              </w:rPr>
            </w:pPr>
            <w:r>
              <w:rPr>
                <w:rFonts w:eastAsia="Carlito"/>
                <w:color w:val="20262B"/>
                <w:sz w:val="19"/>
                <w:lang w:val="ro-RO"/>
              </w:rPr>
              <w:t>DSA oferă plângeri interne, soluționare extrajudiciară și acces la instanță.</w:t>
            </w:r>
          </w:p>
        </w:tc>
        <w:tc>
          <w:tcPr>
            <w:tcW w:w="2808" w:type="dxa"/>
            <w:tcMar>
              <w:top w:w="90" w:type="dxa"/>
              <w:left w:w="110" w:type="dxa"/>
              <w:bottom w:w="90" w:type="dxa"/>
              <w:right w:w="110" w:type="dxa"/>
            </w:tcMar>
            <w:vAlign w:val="center"/>
          </w:tcPr>
          <w:p w14:paraId="73E0A368" w14:textId="77777777" w:rsidR="00947D72" w:rsidRPr="00BD1DA7" w:rsidRDefault="00000000">
            <w:pPr>
              <w:spacing w:after="0" w:line="240" w:lineRule="auto"/>
              <w:rPr>
                <w:lang w:val="ro-RO"/>
              </w:rPr>
            </w:pPr>
            <w:r>
              <w:rPr>
                <w:rFonts w:eastAsia="Carlito"/>
                <w:color w:val="20262B"/>
                <w:sz w:val="19"/>
                <w:lang w:val="ro-RO"/>
              </w:rPr>
              <w:t>Corecție juridică UE.</w:t>
            </w:r>
          </w:p>
        </w:tc>
      </w:tr>
      <w:tr w:rsidR="00947D72" w:rsidRPr="00BD1DA7" w14:paraId="42C79C37" w14:textId="77777777">
        <w:trPr>
          <w:cantSplit/>
          <w:jc w:val="center"/>
        </w:trPr>
        <w:tc>
          <w:tcPr>
            <w:tcW w:w="3384" w:type="dxa"/>
            <w:shd w:val="clear" w:color="auto" w:fill="F5F7F8"/>
            <w:tcMar>
              <w:top w:w="90" w:type="dxa"/>
              <w:left w:w="110" w:type="dxa"/>
              <w:bottom w:w="90" w:type="dxa"/>
              <w:right w:w="110" w:type="dxa"/>
            </w:tcMar>
            <w:vAlign w:val="center"/>
          </w:tcPr>
          <w:p w14:paraId="2224DFFC" w14:textId="77777777" w:rsidR="00947D72" w:rsidRPr="00BD1DA7" w:rsidRDefault="00000000">
            <w:pPr>
              <w:spacing w:after="0" w:line="240" w:lineRule="auto"/>
              <w:rPr>
                <w:lang w:val="ro-RO"/>
              </w:rPr>
            </w:pPr>
            <w:r>
              <w:rPr>
                <w:rFonts w:eastAsia="Carlito"/>
                <w:color w:val="20262B"/>
                <w:sz w:val="19"/>
                <w:lang w:val="ro-RO"/>
              </w:rPr>
              <w:t>„Auto-sesizarea CCR era prevăzută de lege”</w:t>
            </w:r>
          </w:p>
        </w:tc>
        <w:tc>
          <w:tcPr>
            <w:tcW w:w="3960" w:type="dxa"/>
            <w:shd w:val="clear" w:color="auto" w:fill="F5F7F8"/>
            <w:tcMar>
              <w:top w:w="90" w:type="dxa"/>
              <w:left w:w="110" w:type="dxa"/>
              <w:bottom w:w="90" w:type="dxa"/>
              <w:right w:w="110" w:type="dxa"/>
            </w:tcMar>
            <w:vAlign w:val="center"/>
          </w:tcPr>
          <w:p w14:paraId="7BB18CD4" w14:textId="77777777" w:rsidR="00947D72" w:rsidRPr="00BD1DA7" w:rsidRDefault="00000000">
            <w:pPr>
              <w:spacing w:after="0" w:line="240" w:lineRule="auto"/>
              <w:rPr>
                <w:lang w:val="ro-RO"/>
              </w:rPr>
            </w:pPr>
            <w:r>
              <w:rPr>
                <w:rFonts w:eastAsia="Carlito"/>
                <w:color w:val="20262B"/>
                <w:sz w:val="19"/>
                <w:lang w:val="ro-RO"/>
              </w:rPr>
              <w:t>Se explică tensiunea dintre competența generală a CCR și procedura specială din art. 52 al Legii 370/2004.</w:t>
            </w:r>
          </w:p>
        </w:tc>
        <w:tc>
          <w:tcPr>
            <w:tcW w:w="2808" w:type="dxa"/>
            <w:shd w:val="clear" w:color="auto" w:fill="F5F7F8"/>
            <w:tcMar>
              <w:top w:w="90" w:type="dxa"/>
              <w:left w:w="110" w:type="dxa"/>
              <w:bottom w:w="90" w:type="dxa"/>
              <w:right w:w="110" w:type="dxa"/>
            </w:tcMar>
            <w:vAlign w:val="center"/>
          </w:tcPr>
          <w:p w14:paraId="65748964" w14:textId="77777777" w:rsidR="00947D72" w:rsidRPr="00BD1DA7" w:rsidRDefault="00000000">
            <w:pPr>
              <w:spacing w:after="0" w:line="240" w:lineRule="auto"/>
              <w:rPr>
                <w:lang w:val="ro-RO"/>
              </w:rPr>
            </w:pPr>
            <w:r>
              <w:rPr>
                <w:rFonts w:eastAsia="Carlito"/>
                <w:color w:val="20262B"/>
                <w:sz w:val="19"/>
                <w:lang w:val="ro-RO"/>
              </w:rPr>
              <w:t>Problema este juridic mai complexă.</w:t>
            </w:r>
          </w:p>
        </w:tc>
      </w:tr>
      <w:tr w:rsidR="00947D72" w:rsidRPr="00BD1DA7" w14:paraId="5466F0D7" w14:textId="77777777">
        <w:trPr>
          <w:cantSplit/>
          <w:jc w:val="center"/>
        </w:trPr>
        <w:tc>
          <w:tcPr>
            <w:tcW w:w="3384" w:type="dxa"/>
            <w:tcMar>
              <w:top w:w="90" w:type="dxa"/>
              <w:left w:w="110" w:type="dxa"/>
              <w:bottom w:w="90" w:type="dxa"/>
              <w:right w:w="110" w:type="dxa"/>
            </w:tcMar>
            <w:vAlign w:val="center"/>
          </w:tcPr>
          <w:p w14:paraId="7EC0D07B" w14:textId="77777777" w:rsidR="00947D72" w:rsidRPr="00BD1DA7" w:rsidRDefault="00000000">
            <w:pPr>
              <w:spacing w:after="0" w:line="240" w:lineRule="auto"/>
              <w:rPr>
                <w:lang w:val="ro-RO"/>
              </w:rPr>
            </w:pPr>
            <w:r>
              <w:rPr>
                <w:rFonts w:eastAsia="Carlito"/>
                <w:color w:val="20262B"/>
                <w:sz w:val="19"/>
                <w:lang w:val="ro-RO"/>
              </w:rPr>
              <w:t>Hotărârea CCR nr. 1/2024</w:t>
            </w:r>
          </w:p>
        </w:tc>
        <w:tc>
          <w:tcPr>
            <w:tcW w:w="3960" w:type="dxa"/>
            <w:tcMar>
              <w:top w:w="90" w:type="dxa"/>
              <w:left w:w="110" w:type="dxa"/>
              <w:bottom w:w="90" w:type="dxa"/>
              <w:right w:w="110" w:type="dxa"/>
            </w:tcMar>
            <w:vAlign w:val="center"/>
          </w:tcPr>
          <w:p w14:paraId="460AEB1B" w14:textId="77777777" w:rsidR="00947D72" w:rsidRPr="00BD1DA7" w:rsidRDefault="00000000">
            <w:pPr>
              <w:spacing w:after="0" w:line="240" w:lineRule="auto"/>
              <w:rPr>
                <w:lang w:val="ro-RO"/>
              </w:rPr>
            </w:pPr>
            <w:r>
              <w:rPr>
                <w:rFonts w:eastAsia="Carlito"/>
                <w:color w:val="20262B"/>
                <w:sz w:val="19"/>
                <w:lang w:val="ro-RO"/>
              </w:rPr>
              <w:t>Hotărârea CCR nr. 32 din 6 decembrie 2024.</w:t>
            </w:r>
          </w:p>
        </w:tc>
        <w:tc>
          <w:tcPr>
            <w:tcW w:w="2808" w:type="dxa"/>
            <w:tcMar>
              <w:top w:w="90" w:type="dxa"/>
              <w:left w:w="110" w:type="dxa"/>
              <w:bottom w:w="90" w:type="dxa"/>
              <w:right w:w="110" w:type="dxa"/>
            </w:tcMar>
            <w:vAlign w:val="center"/>
          </w:tcPr>
          <w:p w14:paraId="2BEA3E5B" w14:textId="77777777" w:rsidR="00947D72" w:rsidRPr="00BD1DA7" w:rsidRDefault="00000000">
            <w:pPr>
              <w:spacing w:after="0" w:line="240" w:lineRule="auto"/>
              <w:rPr>
                <w:lang w:val="ro-RO"/>
              </w:rPr>
            </w:pPr>
            <w:r>
              <w:rPr>
                <w:rFonts w:eastAsia="Carlito"/>
                <w:color w:val="20262B"/>
                <w:sz w:val="19"/>
                <w:lang w:val="ro-RO"/>
              </w:rPr>
              <w:t>Corecție bibliografică.</w:t>
            </w:r>
          </w:p>
        </w:tc>
      </w:tr>
      <w:tr w:rsidR="00947D72" w:rsidRPr="00BD1DA7" w14:paraId="1CED769F" w14:textId="77777777">
        <w:trPr>
          <w:cantSplit/>
          <w:jc w:val="center"/>
        </w:trPr>
        <w:tc>
          <w:tcPr>
            <w:tcW w:w="3384" w:type="dxa"/>
            <w:shd w:val="clear" w:color="auto" w:fill="F5F7F8"/>
            <w:tcMar>
              <w:top w:w="90" w:type="dxa"/>
              <w:left w:w="110" w:type="dxa"/>
              <w:bottom w:w="90" w:type="dxa"/>
              <w:right w:w="110" w:type="dxa"/>
            </w:tcMar>
            <w:vAlign w:val="center"/>
          </w:tcPr>
          <w:p w14:paraId="0C324266" w14:textId="77777777" w:rsidR="00947D72" w:rsidRPr="00BD1DA7" w:rsidRDefault="00000000">
            <w:pPr>
              <w:spacing w:after="0" w:line="240" w:lineRule="auto"/>
              <w:rPr>
                <w:lang w:val="ro-RO"/>
              </w:rPr>
            </w:pPr>
            <w:r>
              <w:rPr>
                <w:rFonts w:eastAsia="Carlito"/>
                <w:color w:val="20262B"/>
                <w:sz w:val="19"/>
                <w:lang w:val="ro-RO"/>
              </w:rPr>
              <w:t>Evaluări de intelligence prezentate ca verdicte judiciare</w:t>
            </w:r>
          </w:p>
        </w:tc>
        <w:tc>
          <w:tcPr>
            <w:tcW w:w="3960" w:type="dxa"/>
            <w:shd w:val="clear" w:color="auto" w:fill="F5F7F8"/>
            <w:tcMar>
              <w:top w:w="90" w:type="dxa"/>
              <w:left w:w="110" w:type="dxa"/>
              <w:bottom w:w="90" w:type="dxa"/>
              <w:right w:w="110" w:type="dxa"/>
            </w:tcMar>
            <w:vAlign w:val="center"/>
          </w:tcPr>
          <w:p w14:paraId="7F29F1CE" w14:textId="77777777" w:rsidR="00947D72" w:rsidRPr="00BD1DA7" w:rsidRDefault="00000000">
            <w:pPr>
              <w:spacing w:after="0" w:line="240" w:lineRule="auto"/>
              <w:rPr>
                <w:lang w:val="ro-RO"/>
              </w:rPr>
            </w:pPr>
            <w:r>
              <w:rPr>
                <w:rFonts w:eastAsia="Carlito"/>
                <w:color w:val="20262B"/>
                <w:sz w:val="19"/>
                <w:lang w:val="ro-RO"/>
              </w:rPr>
              <w:t>Se separă evaluările, datele de platformă, investigațiile și faptele stabilite definitiv.</w:t>
            </w:r>
          </w:p>
        </w:tc>
        <w:tc>
          <w:tcPr>
            <w:tcW w:w="2808" w:type="dxa"/>
            <w:shd w:val="clear" w:color="auto" w:fill="F5F7F8"/>
            <w:tcMar>
              <w:top w:w="90" w:type="dxa"/>
              <w:left w:w="110" w:type="dxa"/>
              <w:bottom w:w="90" w:type="dxa"/>
              <w:right w:w="110" w:type="dxa"/>
            </w:tcMar>
            <w:vAlign w:val="center"/>
          </w:tcPr>
          <w:p w14:paraId="072E793B" w14:textId="77777777" w:rsidR="00947D72" w:rsidRPr="00BD1DA7" w:rsidRDefault="00000000">
            <w:pPr>
              <w:spacing w:after="0" w:line="240" w:lineRule="auto"/>
              <w:rPr>
                <w:lang w:val="ro-RO"/>
              </w:rPr>
            </w:pPr>
            <w:r>
              <w:rPr>
                <w:rFonts w:eastAsia="Carlito"/>
                <w:color w:val="20262B"/>
                <w:sz w:val="19"/>
                <w:lang w:val="ro-RO"/>
              </w:rPr>
              <w:t>Niveluri diferite de certitudine.</w:t>
            </w:r>
          </w:p>
        </w:tc>
      </w:tr>
      <w:tr w:rsidR="00947D72" w:rsidRPr="00BD1DA7" w14:paraId="6068292A" w14:textId="77777777">
        <w:trPr>
          <w:cantSplit/>
          <w:jc w:val="center"/>
        </w:trPr>
        <w:tc>
          <w:tcPr>
            <w:tcW w:w="3384" w:type="dxa"/>
            <w:tcMar>
              <w:top w:w="90" w:type="dxa"/>
              <w:left w:w="110" w:type="dxa"/>
              <w:bottom w:w="90" w:type="dxa"/>
              <w:right w:w="110" w:type="dxa"/>
            </w:tcMar>
            <w:vAlign w:val="center"/>
          </w:tcPr>
          <w:p w14:paraId="5CEC6F5A" w14:textId="77777777" w:rsidR="00947D72" w:rsidRPr="00BD1DA7" w:rsidRDefault="00000000">
            <w:pPr>
              <w:spacing w:after="0" w:line="240" w:lineRule="auto"/>
              <w:rPr>
                <w:lang w:val="ro-RO"/>
              </w:rPr>
            </w:pPr>
            <w:r>
              <w:rPr>
                <w:rFonts w:eastAsia="Carlito"/>
                <w:color w:val="20262B"/>
                <w:sz w:val="19"/>
                <w:lang w:val="ro-RO"/>
              </w:rPr>
              <w:t>85.000 de atacuri „în ziua votului”</w:t>
            </w:r>
          </w:p>
        </w:tc>
        <w:tc>
          <w:tcPr>
            <w:tcW w:w="3960" w:type="dxa"/>
            <w:tcMar>
              <w:top w:w="90" w:type="dxa"/>
              <w:left w:w="110" w:type="dxa"/>
              <w:bottom w:w="90" w:type="dxa"/>
              <w:right w:w="110" w:type="dxa"/>
            </w:tcMar>
            <w:vAlign w:val="center"/>
          </w:tcPr>
          <w:p w14:paraId="7578B55F" w14:textId="77777777" w:rsidR="00947D72" w:rsidRPr="00BD1DA7" w:rsidRDefault="00000000">
            <w:pPr>
              <w:spacing w:after="0" w:line="240" w:lineRule="auto"/>
              <w:rPr>
                <w:lang w:val="ro-RO"/>
              </w:rPr>
            </w:pPr>
            <w:r>
              <w:rPr>
                <w:rFonts w:eastAsia="Carlito"/>
                <w:color w:val="20262B"/>
                <w:sz w:val="19"/>
                <w:lang w:val="ro-RO"/>
              </w:rPr>
              <w:t>Cifra exactă nu mai este folosită ca fapt sumar fără contextualizarea intervalului și a naturii incidentelor.</w:t>
            </w:r>
          </w:p>
        </w:tc>
        <w:tc>
          <w:tcPr>
            <w:tcW w:w="2808" w:type="dxa"/>
            <w:tcMar>
              <w:top w:w="90" w:type="dxa"/>
              <w:left w:w="110" w:type="dxa"/>
              <w:bottom w:w="90" w:type="dxa"/>
              <w:right w:w="110" w:type="dxa"/>
            </w:tcMar>
            <w:vAlign w:val="center"/>
          </w:tcPr>
          <w:p w14:paraId="32D2EA02" w14:textId="77777777" w:rsidR="00947D72" w:rsidRPr="00BD1DA7" w:rsidRDefault="00000000">
            <w:pPr>
              <w:spacing w:after="0" w:line="240" w:lineRule="auto"/>
              <w:rPr>
                <w:lang w:val="ro-RO"/>
              </w:rPr>
            </w:pPr>
            <w:r>
              <w:rPr>
                <w:rFonts w:eastAsia="Carlito"/>
                <w:color w:val="20262B"/>
                <w:sz w:val="19"/>
                <w:lang w:val="ro-RO"/>
              </w:rPr>
              <w:t>Formularea inițială comprima excesiv documentele tehnice.</w:t>
            </w:r>
          </w:p>
        </w:tc>
      </w:tr>
      <w:tr w:rsidR="00947D72" w:rsidRPr="00BD1DA7" w14:paraId="65567F07" w14:textId="77777777">
        <w:trPr>
          <w:cantSplit/>
          <w:jc w:val="center"/>
        </w:trPr>
        <w:tc>
          <w:tcPr>
            <w:tcW w:w="3384" w:type="dxa"/>
            <w:shd w:val="clear" w:color="auto" w:fill="F5F7F8"/>
            <w:tcMar>
              <w:top w:w="90" w:type="dxa"/>
              <w:left w:w="110" w:type="dxa"/>
              <w:bottom w:w="90" w:type="dxa"/>
              <w:right w:w="110" w:type="dxa"/>
            </w:tcMar>
            <w:vAlign w:val="center"/>
          </w:tcPr>
          <w:p w14:paraId="17001351" w14:textId="77777777" w:rsidR="00947D72" w:rsidRPr="00BD1DA7" w:rsidRDefault="00000000">
            <w:pPr>
              <w:spacing w:after="0" w:line="240" w:lineRule="auto"/>
              <w:rPr>
                <w:lang w:val="ro-RO"/>
              </w:rPr>
            </w:pPr>
            <w:r>
              <w:rPr>
                <w:rFonts w:eastAsia="Carlito"/>
                <w:color w:val="20262B"/>
                <w:sz w:val="19"/>
                <w:lang w:val="ro-RO"/>
              </w:rPr>
              <w:t>„Mecanismul a rămas identic”</w:t>
            </w:r>
          </w:p>
        </w:tc>
        <w:tc>
          <w:tcPr>
            <w:tcW w:w="3960" w:type="dxa"/>
            <w:shd w:val="clear" w:color="auto" w:fill="F5F7F8"/>
            <w:tcMar>
              <w:top w:w="90" w:type="dxa"/>
              <w:left w:w="110" w:type="dxa"/>
              <w:bottom w:w="90" w:type="dxa"/>
              <w:right w:w="110" w:type="dxa"/>
            </w:tcMar>
            <w:vAlign w:val="center"/>
          </w:tcPr>
          <w:p w14:paraId="78F1C2D8" w14:textId="77777777" w:rsidR="00947D72" w:rsidRPr="00BD1DA7" w:rsidRDefault="00000000">
            <w:pPr>
              <w:spacing w:after="0" w:line="240" w:lineRule="auto"/>
              <w:rPr>
                <w:lang w:val="ro-RO"/>
              </w:rPr>
            </w:pPr>
            <w:r>
              <w:rPr>
                <w:rFonts w:eastAsia="Carlito"/>
                <w:color w:val="20262B"/>
                <w:sz w:val="19"/>
                <w:lang w:val="ro-RO"/>
              </w:rPr>
              <w:t>Se păstrează ideea de continuitate a stimulentului, dar se respinge identitatea mecanismelor.</w:t>
            </w:r>
          </w:p>
        </w:tc>
        <w:tc>
          <w:tcPr>
            <w:tcW w:w="2808" w:type="dxa"/>
            <w:shd w:val="clear" w:color="auto" w:fill="F5F7F8"/>
            <w:tcMar>
              <w:top w:w="90" w:type="dxa"/>
              <w:left w:w="110" w:type="dxa"/>
              <w:bottom w:w="90" w:type="dxa"/>
              <w:right w:w="110" w:type="dxa"/>
            </w:tcMar>
            <w:vAlign w:val="center"/>
          </w:tcPr>
          <w:p w14:paraId="6DCCD00D" w14:textId="77777777" w:rsidR="00947D72" w:rsidRPr="00BD1DA7" w:rsidRDefault="00000000">
            <w:pPr>
              <w:spacing w:after="0" w:line="240" w:lineRule="auto"/>
              <w:rPr>
                <w:lang w:val="ro-RO"/>
              </w:rPr>
            </w:pPr>
            <w:r>
              <w:rPr>
                <w:rFonts w:eastAsia="Carlito"/>
                <w:color w:val="20262B"/>
                <w:sz w:val="19"/>
                <w:lang w:val="ro-RO"/>
              </w:rPr>
              <w:t>Instituțiile, intensitatea și remediile se schimbă fundamental.</w:t>
            </w:r>
          </w:p>
        </w:tc>
      </w:tr>
      <w:tr w:rsidR="00947D72" w:rsidRPr="00BD1DA7" w14:paraId="61631E33" w14:textId="77777777">
        <w:trPr>
          <w:jc w:val="center"/>
        </w:trPr>
        <w:tc>
          <w:tcPr>
            <w:tcW w:w="3293" w:type="dxa"/>
            <w:tcMar>
              <w:top w:w="90" w:type="dxa"/>
              <w:left w:w="110" w:type="dxa"/>
              <w:bottom w:w="90" w:type="dxa"/>
              <w:right w:w="110" w:type="dxa"/>
            </w:tcMar>
            <w:vAlign w:val="center"/>
          </w:tcPr>
          <w:p w14:paraId="42541692" w14:textId="77777777" w:rsidR="00947D72" w:rsidRPr="00BD1DA7" w:rsidRDefault="00000000">
            <w:pPr>
              <w:spacing w:after="0"/>
              <w:rPr>
                <w:lang w:val="ro-RO"/>
              </w:rPr>
            </w:pPr>
            <w:r>
              <w:rPr>
                <w:sz w:val="18"/>
                <w:lang w:val="ro-RO"/>
              </w:rPr>
              <w:t>Relația operă-autor și Cancel Culture lipseau din analiza inițială</w:t>
            </w:r>
          </w:p>
        </w:tc>
        <w:tc>
          <w:tcPr>
            <w:tcW w:w="3293" w:type="dxa"/>
            <w:tcMar>
              <w:top w:w="90" w:type="dxa"/>
              <w:left w:w="110" w:type="dxa"/>
              <w:bottom w:w="90" w:type="dxa"/>
              <w:right w:w="110" w:type="dxa"/>
            </w:tcMar>
            <w:vAlign w:val="center"/>
          </w:tcPr>
          <w:p w14:paraId="2EF2AF83" w14:textId="77777777" w:rsidR="00947D72" w:rsidRPr="00BD1DA7" w:rsidRDefault="00000000">
            <w:pPr>
              <w:spacing w:after="0"/>
              <w:rPr>
                <w:lang w:val="ro-RO"/>
              </w:rPr>
            </w:pPr>
            <w:r>
              <w:rPr>
                <w:sz w:val="18"/>
                <w:lang w:val="ro-RO"/>
              </w:rPr>
              <w:t>Se introduce un capitol distinct despre instrumentalizarea canonului, monumente, sancțiunea reputațională, deplatformare și autocenzură.</w:t>
            </w:r>
          </w:p>
        </w:tc>
        <w:tc>
          <w:tcPr>
            <w:tcW w:w="3293" w:type="dxa"/>
            <w:tcMar>
              <w:top w:w="90" w:type="dxa"/>
              <w:left w:w="110" w:type="dxa"/>
              <w:bottom w:w="90" w:type="dxa"/>
              <w:right w:w="110" w:type="dxa"/>
            </w:tcMar>
            <w:vAlign w:val="center"/>
          </w:tcPr>
          <w:p w14:paraId="2F441194" w14:textId="77777777" w:rsidR="00947D72" w:rsidRPr="00BD1DA7" w:rsidRDefault="00000000">
            <w:pPr>
              <w:spacing w:after="0"/>
              <w:rPr>
                <w:lang w:val="ro-RO"/>
              </w:rPr>
            </w:pPr>
            <w:r>
              <w:rPr>
                <w:sz w:val="18"/>
                <w:lang w:val="ro-RO"/>
              </w:rPr>
              <w:t>Pentru a diferenția cenzura de stat de presiunea socială și pentru a analiza controlul cultural fără echivalențe false.</w:t>
            </w:r>
          </w:p>
        </w:tc>
      </w:tr>
    </w:tbl>
    <w:p w14:paraId="328A76A6" w14:textId="77777777" w:rsidR="00947D72" w:rsidRPr="00BD1DA7" w:rsidRDefault="00947D72">
      <w:pPr>
        <w:spacing w:after="20"/>
        <w:rPr>
          <w:lang w:val="ro-RO"/>
        </w:rPr>
      </w:pPr>
    </w:p>
    <w:p w14:paraId="04F69C45" w14:textId="77777777" w:rsidR="00947D72" w:rsidRPr="00BD1DA7" w:rsidRDefault="00000000">
      <w:pPr>
        <w:pStyle w:val="Heading1"/>
        <w:spacing w:before="220" w:after="100"/>
        <w:rPr>
          <w:lang w:val="ro-RO"/>
        </w:rPr>
      </w:pPr>
      <w:r>
        <w:rPr>
          <w:rFonts w:ascii="Carlito" w:eastAsia="Carlito" w:hAnsi="Carlito"/>
          <w:color w:val="17324D"/>
          <w:sz w:val="34"/>
          <w:lang w:val="ro-RO"/>
        </w:rPr>
        <w:t>Anexa B. Cronologie selectivă 1821-2026</w:t>
      </w:r>
    </w:p>
    <w:tbl>
      <w:tblPr>
        <w:tblW w:w="0" w:type="auto"/>
        <w:jc w:val="center"/>
        <w:tblBorders>
          <w:top w:val="single" w:sz="6" w:space="0" w:color="CBD5DB"/>
          <w:left w:val="single" w:sz="6" w:space="0" w:color="CBD5DB"/>
          <w:bottom w:val="single" w:sz="6" w:space="0" w:color="CBD5DB"/>
          <w:right w:val="single" w:sz="6" w:space="0" w:color="CBD5DB"/>
          <w:insideH w:val="single" w:sz="6" w:space="0" w:color="CBD5DB"/>
          <w:insideV w:val="single" w:sz="6" w:space="0" w:color="CBD5DB"/>
        </w:tblBorders>
        <w:tblLayout w:type="fixed"/>
        <w:tblLook w:val="04A0" w:firstRow="1" w:lastRow="0" w:firstColumn="1" w:lastColumn="0" w:noHBand="0" w:noVBand="1"/>
      </w:tblPr>
      <w:tblGrid>
        <w:gridCol w:w="3293"/>
        <w:gridCol w:w="4464"/>
        <w:gridCol w:w="3960"/>
      </w:tblGrid>
      <w:tr w:rsidR="00947D72" w:rsidRPr="00BD1DA7" w14:paraId="608BAD33" w14:textId="77777777">
        <w:trPr>
          <w:cantSplit/>
          <w:tblHeader/>
          <w:jc w:val="center"/>
        </w:trPr>
        <w:tc>
          <w:tcPr>
            <w:tcW w:w="1800" w:type="dxa"/>
            <w:shd w:val="clear" w:color="auto" w:fill="D9E2F3"/>
            <w:tcMar>
              <w:top w:w="90" w:type="dxa"/>
              <w:left w:w="110" w:type="dxa"/>
              <w:bottom w:w="90" w:type="dxa"/>
              <w:right w:w="110" w:type="dxa"/>
            </w:tcMar>
            <w:vAlign w:val="center"/>
          </w:tcPr>
          <w:p w14:paraId="03D5AE01" w14:textId="77777777" w:rsidR="00947D72" w:rsidRPr="00BD1DA7" w:rsidRDefault="00000000">
            <w:pPr>
              <w:spacing w:after="0"/>
              <w:jc w:val="center"/>
              <w:rPr>
                <w:lang w:val="ro-RO"/>
              </w:rPr>
            </w:pPr>
            <w:r>
              <w:rPr>
                <w:rFonts w:eastAsia="Carlito"/>
                <w:b/>
                <w:color w:val="FFFFFF"/>
                <w:sz w:val="19"/>
                <w:lang w:val="ro-RO"/>
              </w:rPr>
              <w:t>An / perioadă</w:t>
            </w:r>
          </w:p>
        </w:tc>
        <w:tc>
          <w:tcPr>
            <w:tcW w:w="4464" w:type="dxa"/>
            <w:shd w:val="clear" w:color="auto" w:fill="D9E2F3"/>
            <w:tcMar>
              <w:top w:w="90" w:type="dxa"/>
              <w:left w:w="110" w:type="dxa"/>
              <w:bottom w:w="90" w:type="dxa"/>
              <w:right w:w="110" w:type="dxa"/>
            </w:tcMar>
            <w:vAlign w:val="center"/>
          </w:tcPr>
          <w:p w14:paraId="378112E9" w14:textId="77777777" w:rsidR="00947D72" w:rsidRPr="00BD1DA7" w:rsidRDefault="00000000">
            <w:pPr>
              <w:spacing w:after="0"/>
              <w:jc w:val="center"/>
              <w:rPr>
                <w:lang w:val="ro-RO"/>
              </w:rPr>
            </w:pPr>
            <w:r>
              <w:rPr>
                <w:rFonts w:eastAsia="Carlito"/>
                <w:b/>
                <w:color w:val="FFFFFF"/>
                <w:sz w:val="19"/>
                <w:lang w:val="ro-RO"/>
              </w:rPr>
              <w:t>Reper</w:t>
            </w:r>
          </w:p>
        </w:tc>
        <w:tc>
          <w:tcPr>
            <w:tcW w:w="3960" w:type="dxa"/>
            <w:shd w:val="clear" w:color="auto" w:fill="D9E2F3"/>
            <w:tcMar>
              <w:top w:w="90" w:type="dxa"/>
              <w:left w:w="110" w:type="dxa"/>
              <w:bottom w:w="90" w:type="dxa"/>
              <w:right w:w="110" w:type="dxa"/>
            </w:tcMar>
            <w:vAlign w:val="center"/>
          </w:tcPr>
          <w:p w14:paraId="6DBF5779" w14:textId="77777777" w:rsidR="00947D72" w:rsidRPr="00BD1DA7" w:rsidRDefault="00000000">
            <w:pPr>
              <w:spacing w:after="0"/>
              <w:jc w:val="center"/>
              <w:rPr>
                <w:lang w:val="ro-RO"/>
              </w:rPr>
            </w:pPr>
            <w:r>
              <w:rPr>
                <w:rFonts w:eastAsia="Carlito"/>
                <w:b/>
                <w:color w:val="FFFFFF"/>
                <w:sz w:val="19"/>
                <w:lang w:val="ro-RO"/>
              </w:rPr>
              <w:t>Tip de control / semnificație</w:t>
            </w:r>
          </w:p>
        </w:tc>
      </w:tr>
      <w:tr w:rsidR="00947D72" w:rsidRPr="00BD1DA7" w14:paraId="3FEAAB0E" w14:textId="77777777">
        <w:trPr>
          <w:cantSplit/>
          <w:jc w:val="center"/>
        </w:trPr>
        <w:tc>
          <w:tcPr>
            <w:tcW w:w="1800" w:type="dxa"/>
            <w:tcMar>
              <w:top w:w="90" w:type="dxa"/>
              <w:left w:w="110" w:type="dxa"/>
              <w:bottom w:w="90" w:type="dxa"/>
              <w:right w:w="110" w:type="dxa"/>
            </w:tcMar>
            <w:vAlign w:val="center"/>
          </w:tcPr>
          <w:p w14:paraId="69805B43" w14:textId="77777777" w:rsidR="00947D72" w:rsidRPr="00BD1DA7" w:rsidRDefault="00000000">
            <w:pPr>
              <w:spacing w:after="0" w:line="240" w:lineRule="auto"/>
              <w:rPr>
                <w:lang w:val="ro-RO"/>
              </w:rPr>
            </w:pPr>
            <w:r>
              <w:rPr>
                <w:rFonts w:eastAsia="Carlito"/>
                <w:color w:val="20262B"/>
                <w:sz w:val="19"/>
                <w:lang w:val="ro-RO"/>
              </w:rPr>
              <w:t>1821</w:t>
            </w:r>
          </w:p>
        </w:tc>
        <w:tc>
          <w:tcPr>
            <w:tcW w:w="4464" w:type="dxa"/>
            <w:tcMar>
              <w:top w:w="90" w:type="dxa"/>
              <w:left w:w="110" w:type="dxa"/>
              <w:bottom w:w="90" w:type="dxa"/>
              <w:right w:w="110" w:type="dxa"/>
            </w:tcMar>
            <w:vAlign w:val="center"/>
          </w:tcPr>
          <w:p w14:paraId="7C39FC18" w14:textId="77777777" w:rsidR="00947D72" w:rsidRPr="00BD1DA7" w:rsidRDefault="00000000">
            <w:pPr>
              <w:spacing w:after="0" w:line="240" w:lineRule="auto"/>
              <w:rPr>
                <w:lang w:val="ro-RO"/>
              </w:rPr>
            </w:pPr>
            <w:r>
              <w:rPr>
                <w:rFonts w:eastAsia="Carlito"/>
                <w:color w:val="20262B"/>
                <w:sz w:val="19"/>
                <w:lang w:val="ro-RO"/>
              </w:rPr>
              <w:t>Mișcarea lui Tudor Vladimirescu și eliminarea liderului</w:t>
            </w:r>
          </w:p>
        </w:tc>
        <w:tc>
          <w:tcPr>
            <w:tcW w:w="3960" w:type="dxa"/>
            <w:tcMar>
              <w:top w:w="90" w:type="dxa"/>
              <w:left w:w="110" w:type="dxa"/>
              <w:bottom w:w="90" w:type="dxa"/>
              <w:right w:w="110" w:type="dxa"/>
            </w:tcMar>
            <w:vAlign w:val="center"/>
          </w:tcPr>
          <w:p w14:paraId="57890DFE" w14:textId="77777777" w:rsidR="00947D72" w:rsidRPr="00BD1DA7" w:rsidRDefault="00000000">
            <w:pPr>
              <w:spacing w:after="0" w:line="240" w:lineRule="auto"/>
              <w:rPr>
                <w:lang w:val="ro-RO"/>
              </w:rPr>
            </w:pPr>
            <w:r>
              <w:rPr>
                <w:rFonts w:eastAsia="Carlito"/>
                <w:color w:val="20262B"/>
                <w:sz w:val="19"/>
                <w:lang w:val="ro-RO"/>
              </w:rPr>
              <w:t>Represiune politică; nu cenzură în sens strict</w:t>
            </w:r>
          </w:p>
        </w:tc>
      </w:tr>
      <w:tr w:rsidR="00947D72" w:rsidRPr="00BD1DA7" w14:paraId="1F3D517D" w14:textId="77777777">
        <w:trPr>
          <w:cantSplit/>
          <w:jc w:val="center"/>
        </w:trPr>
        <w:tc>
          <w:tcPr>
            <w:tcW w:w="1800" w:type="dxa"/>
            <w:shd w:val="clear" w:color="auto" w:fill="F5F7F8"/>
            <w:tcMar>
              <w:top w:w="90" w:type="dxa"/>
              <w:left w:w="110" w:type="dxa"/>
              <w:bottom w:w="90" w:type="dxa"/>
              <w:right w:w="110" w:type="dxa"/>
            </w:tcMar>
            <w:vAlign w:val="center"/>
          </w:tcPr>
          <w:p w14:paraId="28B11380" w14:textId="77777777" w:rsidR="00947D72" w:rsidRPr="00BD1DA7" w:rsidRDefault="00000000">
            <w:pPr>
              <w:spacing w:after="0" w:line="240" w:lineRule="auto"/>
              <w:rPr>
                <w:lang w:val="ro-RO"/>
              </w:rPr>
            </w:pPr>
            <w:r>
              <w:rPr>
                <w:rFonts w:eastAsia="Carlito"/>
                <w:color w:val="20262B"/>
                <w:sz w:val="19"/>
                <w:lang w:val="ro-RO"/>
              </w:rPr>
              <w:t>1848-1849</w:t>
            </w:r>
          </w:p>
        </w:tc>
        <w:tc>
          <w:tcPr>
            <w:tcW w:w="4464" w:type="dxa"/>
            <w:shd w:val="clear" w:color="auto" w:fill="F5F7F8"/>
            <w:tcMar>
              <w:top w:w="90" w:type="dxa"/>
              <w:left w:w="110" w:type="dxa"/>
              <w:bottom w:w="90" w:type="dxa"/>
              <w:right w:w="110" w:type="dxa"/>
            </w:tcMar>
            <w:vAlign w:val="center"/>
          </w:tcPr>
          <w:p w14:paraId="2C45E00E" w14:textId="77777777" w:rsidR="00947D72" w:rsidRPr="00BD1DA7" w:rsidRDefault="00000000">
            <w:pPr>
              <w:spacing w:after="0" w:line="240" w:lineRule="auto"/>
              <w:rPr>
                <w:lang w:val="ro-RO"/>
              </w:rPr>
            </w:pPr>
            <w:r>
              <w:rPr>
                <w:rFonts w:eastAsia="Carlito"/>
                <w:color w:val="20262B"/>
                <w:sz w:val="19"/>
                <w:lang w:val="ro-RO"/>
              </w:rPr>
              <w:t>Revoluții, presă militantă, represiune post-revoluționară</w:t>
            </w:r>
          </w:p>
        </w:tc>
        <w:tc>
          <w:tcPr>
            <w:tcW w:w="3960" w:type="dxa"/>
            <w:shd w:val="clear" w:color="auto" w:fill="F5F7F8"/>
            <w:tcMar>
              <w:top w:w="90" w:type="dxa"/>
              <w:left w:w="110" w:type="dxa"/>
              <w:bottom w:w="90" w:type="dxa"/>
              <w:right w:w="110" w:type="dxa"/>
            </w:tcMar>
            <w:vAlign w:val="center"/>
          </w:tcPr>
          <w:p w14:paraId="0FB148AA" w14:textId="77777777" w:rsidR="00947D72" w:rsidRPr="00BD1DA7" w:rsidRDefault="00000000">
            <w:pPr>
              <w:spacing w:after="0" w:line="240" w:lineRule="auto"/>
              <w:rPr>
                <w:lang w:val="ro-RO"/>
              </w:rPr>
            </w:pPr>
            <w:r>
              <w:rPr>
                <w:rFonts w:eastAsia="Carlito"/>
                <w:color w:val="20262B"/>
                <w:sz w:val="19"/>
                <w:lang w:val="ro-RO"/>
              </w:rPr>
              <w:t>Control al tiparului și al mobilizării politice</w:t>
            </w:r>
          </w:p>
        </w:tc>
      </w:tr>
      <w:tr w:rsidR="00947D72" w:rsidRPr="00BD1DA7" w14:paraId="68C7F83B" w14:textId="77777777">
        <w:trPr>
          <w:cantSplit/>
          <w:jc w:val="center"/>
        </w:trPr>
        <w:tc>
          <w:tcPr>
            <w:tcW w:w="1800" w:type="dxa"/>
            <w:tcMar>
              <w:top w:w="90" w:type="dxa"/>
              <w:left w:w="110" w:type="dxa"/>
              <w:bottom w:w="90" w:type="dxa"/>
              <w:right w:w="110" w:type="dxa"/>
            </w:tcMar>
            <w:vAlign w:val="center"/>
          </w:tcPr>
          <w:p w14:paraId="0E6BF6F0" w14:textId="77777777" w:rsidR="00947D72" w:rsidRPr="00BD1DA7" w:rsidRDefault="00000000">
            <w:pPr>
              <w:spacing w:after="0" w:line="240" w:lineRule="auto"/>
              <w:rPr>
                <w:lang w:val="ro-RO"/>
              </w:rPr>
            </w:pPr>
            <w:r>
              <w:rPr>
                <w:rFonts w:eastAsia="Carlito"/>
                <w:color w:val="20262B"/>
                <w:sz w:val="19"/>
                <w:lang w:val="ro-RO"/>
              </w:rPr>
              <w:t>1911-1912</w:t>
            </w:r>
          </w:p>
        </w:tc>
        <w:tc>
          <w:tcPr>
            <w:tcW w:w="4464" w:type="dxa"/>
            <w:tcMar>
              <w:top w:w="90" w:type="dxa"/>
              <w:left w:w="110" w:type="dxa"/>
              <w:bottom w:w="90" w:type="dxa"/>
              <w:right w:w="110" w:type="dxa"/>
            </w:tcMar>
            <w:vAlign w:val="center"/>
          </w:tcPr>
          <w:p w14:paraId="5EED1673" w14:textId="77777777" w:rsidR="00947D72" w:rsidRPr="00BD1DA7" w:rsidRDefault="00000000">
            <w:pPr>
              <w:spacing w:after="0" w:line="240" w:lineRule="auto"/>
              <w:rPr>
                <w:lang w:val="ro-RO"/>
              </w:rPr>
            </w:pPr>
            <w:r>
              <w:rPr>
                <w:rFonts w:eastAsia="Carlito"/>
                <w:color w:val="20262B"/>
                <w:sz w:val="19"/>
                <w:lang w:val="ro-RO"/>
              </w:rPr>
              <w:t>Procese și detenție în context austro-ungar, inclusiv cazul Goga</w:t>
            </w:r>
          </w:p>
        </w:tc>
        <w:tc>
          <w:tcPr>
            <w:tcW w:w="3960" w:type="dxa"/>
            <w:tcMar>
              <w:top w:w="90" w:type="dxa"/>
              <w:left w:w="110" w:type="dxa"/>
              <w:bottom w:w="90" w:type="dxa"/>
              <w:right w:w="110" w:type="dxa"/>
            </w:tcMar>
            <w:vAlign w:val="center"/>
          </w:tcPr>
          <w:p w14:paraId="48831BA2" w14:textId="77777777" w:rsidR="00947D72" w:rsidRPr="00BD1DA7" w:rsidRDefault="00000000">
            <w:pPr>
              <w:spacing w:after="0" w:line="240" w:lineRule="auto"/>
              <w:rPr>
                <w:lang w:val="ro-RO"/>
              </w:rPr>
            </w:pPr>
            <w:r>
              <w:rPr>
                <w:rFonts w:eastAsia="Carlito"/>
                <w:color w:val="20262B"/>
                <w:sz w:val="19"/>
                <w:lang w:val="ro-RO"/>
              </w:rPr>
              <w:t>Coerciție juridică asupra discursului național</w:t>
            </w:r>
          </w:p>
        </w:tc>
      </w:tr>
      <w:tr w:rsidR="00947D72" w:rsidRPr="00BD1DA7" w14:paraId="773F1D44" w14:textId="77777777">
        <w:trPr>
          <w:cantSplit/>
          <w:jc w:val="center"/>
        </w:trPr>
        <w:tc>
          <w:tcPr>
            <w:tcW w:w="1800" w:type="dxa"/>
            <w:shd w:val="clear" w:color="auto" w:fill="F5F7F8"/>
            <w:tcMar>
              <w:top w:w="90" w:type="dxa"/>
              <w:left w:w="110" w:type="dxa"/>
              <w:bottom w:w="90" w:type="dxa"/>
              <w:right w:w="110" w:type="dxa"/>
            </w:tcMar>
            <w:vAlign w:val="center"/>
          </w:tcPr>
          <w:p w14:paraId="5A8ADC3A" w14:textId="77777777" w:rsidR="00947D72" w:rsidRPr="00BD1DA7" w:rsidRDefault="00000000">
            <w:pPr>
              <w:spacing w:after="0" w:line="240" w:lineRule="auto"/>
              <w:rPr>
                <w:lang w:val="ro-RO"/>
              </w:rPr>
            </w:pPr>
            <w:r>
              <w:rPr>
                <w:rFonts w:eastAsia="Carlito"/>
                <w:color w:val="20262B"/>
                <w:sz w:val="19"/>
                <w:lang w:val="ro-RO"/>
              </w:rPr>
              <w:t>1938-1944</w:t>
            </w:r>
          </w:p>
        </w:tc>
        <w:tc>
          <w:tcPr>
            <w:tcW w:w="4464" w:type="dxa"/>
            <w:shd w:val="clear" w:color="auto" w:fill="F5F7F8"/>
            <w:tcMar>
              <w:top w:w="90" w:type="dxa"/>
              <w:left w:w="110" w:type="dxa"/>
              <w:bottom w:w="90" w:type="dxa"/>
              <w:right w:w="110" w:type="dxa"/>
            </w:tcMar>
            <w:vAlign w:val="center"/>
          </w:tcPr>
          <w:p w14:paraId="1C2F9362" w14:textId="77777777" w:rsidR="00947D72" w:rsidRPr="00BD1DA7" w:rsidRDefault="00000000">
            <w:pPr>
              <w:spacing w:after="0" w:line="240" w:lineRule="auto"/>
              <w:rPr>
                <w:lang w:val="ro-RO"/>
              </w:rPr>
            </w:pPr>
            <w:r>
              <w:rPr>
                <w:rFonts w:eastAsia="Carlito"/>
                <w:color w:val="20262B"/>
                <w:sz w:val="19"/>
                <w:lang w:val="ro-RO"/>
              </w:rPr>
              <w:t>Regimuri autoritare, război, propagandă și persecuție</w:t>
            </w:r>
          </w:p>
        </w:tc>
        <w:tc>
          <w:tcPr>
            <w:tcW w:w="3960" w:type="dxa"/>
            <w:shd w:val="clear" w:color="auto" w:fill="F5F7F8"/>
            <w:tcMar>
              <w:top w:w="90" w:type="dxa"/>
              <w:left w:w="110" w:type="dxa"/>
              <w:bottom w:w="90" w:type="dxa"/>
              <w:right w:w="110" w:type="dxa"/>
            </w:tcMar>
            <w:vAlign w:val="center"/>
          </w:tcPr>
          <w:p w14:paraId="6835E92C" w14:textId="77777777" w:rsidR="00947D72" w:rsidRPr="00BD1DA7" w:rsidRDefault="00000000">
            <w:pPr>
              <w:spacing w:after="0" w:line="240" w:lineRule="auto"/>
              <w:rPr>
                <w:lang w:val="ro-RO"/>
              </w:rPr>
            </w:pPr>
            <w:r>
              <w:rPr>
                <w:rFonts w:eastAsia="Carlito"/>
                <w:color w:val="20262B"/>
                <w:sz w:val="19"/>
                <w:lang w:val="ro-RO"/>
              </w:rPr>
              <w:t>Restrângerea pluralismului; Holocaustul ca genocid, categorie distinctă</w:t>
            </w:r>
          </w:p>
        </w:tc>
      </w:tr>
      <w:tr w:rsidR="00947D72" w:rsidRPr="00BD1DA7" w14:paraId="22ED2FB2" w14:textId="77777777">
        <w:trPr>
          <w:cantSplit/>
          <w:jc w:val="center"/>
        </w:trPr>
        <w:tc>
          <w:tcPr>
            <w:tcW w:w="1800" w:type="dxa"/>
            <w:tcMar>
              <w:top w:w="90" w:type="dxa"/>
              <w:left w:w="110" w:type="dxa"/>
              <w:bottom w:w="90" w:type="dxa"/>
              <w:right w:w="110" w:type="dxa"/>
            </w:tcMar>
            <w:vAlign w:val="center"/>
          </w:tcPr>
          <w:p w14:paraId="4B52A334" w14:textId="77777777" w:rsidR="00947D72" w:rsidRPr="00BD1DA7" w:rsidRDefault="00000000">
            <w:pPr>
              <w:spacing w:after="0" w:line="240" w:lineRule="auto"/>
              <w:rPr>
                <w:lang w:val="ro-RO"/>
              </w:rPr>
            </w:pPr>
            <w:r>
              <w:rPr>
                <w:rFonts w:eastAsia="Carlito"/>
                <w:color w:val="20262B"/>
                <w:sz w:val="19"/>
                <w:lang w:val="ro-RO"/>
              </w:rPr>
              <w:t>1948-1949</w:t>
            </w:r>
          </w:p>
        </w:tc>
        <w:tc>
          <w:tcPr>
            <w:tcW w:w="4464" w:type="dxa"/>
            <w:tcMar>
              <w:top w:w="90" w:type="dxa"/>
              <w:left w:w="110" w:type="dxa"/>
              <w:bottom w:w="90" w:type="dxa"/>
              <w:right w:w="110" w:type="dxa"/>
            </w:tcMar>
            <w:vAlign w:val="center"/>
          </w:tcPr>
          <w:p w14:paraId="3C4BD224" w14:textId="77777777" w:rsidR="00947D72" w:rsidRPr="00BD1DA7" w:rsidRDefault="00000000">
            <w:pPr>
              <w:spacing w:after="0" w:line="240" w:lineRule="auto"/>
              <w:rPr>
                <w:lang w:val="ro-RO"/>
              </w:rPr>
            </w:pPr>
            <w:r>
              <w:rPr>
                <w:rFonts w:eastAsia="Carlito"/>
                <w:color w:val="20262B"/>
                <w:sz w:val="19"/>
                <w:lang w:val="ro-RO"/>
              </w:rPr>
              <w:t>Consolidarea regimului comunist; înființarea DGPT</w:t>
            </w:r>
          </w:p>
        </w:tc>
        <w:tc>
          <w:tcPr>
            <w:tcW w:w="3960" w:type="dxa"/>
            <w:tcMar>
              <w:top w:w="90" w:type="dxa"/>
              <w:left w:w="110" w:type="dxa"/>
              <w:bottom w:w="90" w:type="dxa"/>
              <w:right w:w="110" w:type="dxa"/>
            </w:tcMar>
            <w:vAlign w:val="center"/>
          </w:tcPr>
          <w:p w14:paraId="43C97729" w14:textId="77777777" w:rsidR="00947D72" w:rsidRPr="00BD1DA7" w:rsidRDefault="00000000">
            <w:pPr>
              <w:spacing w:after="0" w:line="240" w:lineRule="auto"/>
              <w:rPr>
                <w:lang w:val="ro-RO"/>
              </w:rPr>
            </w:pPr>
            <w:r>
              <w:rPr>
                <w:rFonts w:eastAsia="Carlito"/>
                <w:color w:val="20262B"/>
                <w:sz w:val="19"/>
                <w:lang w:val="ro-RO"/>
              </w:rPr>
              <w:t>Cenzură instituționalizată</w:t>
            </w:r>
          </w:p>
        </w:tc>
      </w:tr>
      <w:tr w:rsidR="00947D72" w:rsidRPr="00BD1DA7" w14:paraId="538A681F" w14:textId="77777777">
        <w:trPr>
          <w:cantSplit/>
          <w:jc w:val="center"/>
        </w:trPr>
        <w:tc>
          <w:tcPr>
            <w:tcW w:w="1800" w:type="dxa"/>
            <w:shd w:val="clear" w:color="auto" w:fill="F5F7F8"/>
            <w:tcMar>
              <w:top w:w="90" w:type="dxa"/>
              <w:left w:w="110" w:type="dxa"/>
              <w:bottom w:w="90" w:type="dxa"/>
              <w:right w:w="110" w:type="dxa"/>
            </w:tcMar>
            <w:vAlign w:val="center"/>
          </w:tcPr>
          <w:p w14:paraId="004B844D" w14:textId="77777777" w:rsidR="00947D72" w:rsidRPr="00BD1DA7" w:rsidRDefault="00000000">
            <w:pPr>
              <w:spacing w:after="0" w:line="240" w:lineRule="auto"/>
              <w:rPr>
                <w:lang w:val="ro-RO"/>
              </w:rPr>
            </w:pPr>
            <w:r>
              <w:rPr>
                <w:rFonts w:eastAsia="Carlito"/>
                <w:color w:val="20262B"/>
                <w:sz w:val="19"/>
                <w:lang w:val="ro-RO"/>
              </w:rPr>
              <w:t>1977</w:t>
            </w:r>
          </w:p>
        </w:tc>
        <w:tc>
          <w:tcPr>
            <w:tcW w:w="4464" w:type="dxa"/>
            <w:shd w:val="clear" w:color="auto" w:fill="F5F7F8"/>
            <w:tcMar>
              <w:top w:w="90" w:type="dxa"/>
              <w:left w:w="110" w:type="dxa"/>
              <w:bottom w:w="90" w:type="dxa"/>
              <w:right w:w="110" w:type="dxa"/>
            </w:tcMar>
            <w:vAlign w:val="center"/>
          </w:tcPr>
          <w:p w14:paraId="6C1F4022" w14:textId="77777777" w:rsidR="00947D72" w:rsidRPr="00BD1DA7" w:rsidRDefault="00000000">
            <w:pPr>
              <w:spacing w:after="0" w:line="240" w:lineRule="auto"/>
              <w:rPr>
                <w:lang w:val="ro-RO"/>
              </w:rPr>
            </w:pPr>
            <w:r>
              <w:rPr>
                <w:rFonts w:eastAsia="Carlito"/>
                <w:color w:val="20262B"/>
                <w:sz w:val="19"/>
                <w:lang w:val="ro-RO"/>
              </w:rPr>
              <w:t>Desființarea formală a DGPT</w:t>
            </w:r>
          </w:p>
        </w:tc>
        <w:tc>
          <w:tcPr>
            <w:tcW w:w="3960" w:type="dxa"/>
            <w:shd w:val="clear" w:color="auto" w:fill="F5F7F8"/>
            <w:tcMar>
              <w:top w:w="90" w:type="dxa"/>
              <w:left w:w="110" w:type="dxa"/>
              <w:bottom w:w="90" w:type="dxa"/>
              <w:right w:w="110" w:type="dxa"/>
            </w:tcMar>
            <w:vAlign w:val="center"/>
          </w:tcPr>
          <w:p w14:paraId="05EC411B" w14:textId="77777777" w:rsidR="00947D72" w:rsidRPr="00BD1DA7" w:rsidRDefault="00000000">
            <w:pPr>
              <w:spacing w:after="0" w:line="240" w:lineRule="auto"/>
              <w:rPr>
                <w:lang w:val="ro-RO"/>
              </w:rPr>
            </w:pPr>
            <w:r>
              <w:rPr>
                <w:rFonts w:eastAsia="Carlito"/>
                <w:color w:val="20262B"/>
                <w:sz w:val="19"/>
                <w:lang w:val="ro-RO"/>
              </w:rPr>
              <w:t>Controlul se dispersează în structuri editoriale și de partid</w:t>
            </w:r>
          </w:p>
        </w:tc>
      </w:tr>
      <w:tr w:rsidR="00947D72" w:rsidRPr="00BD1DA7" w14:paraId="1C52D178" w14:textId="77777777">
        <w:trPr>
          <w:cantSplit/>
          <w:jc w:val="center"/>
        </w:trPr>
        <w:tc>
          <w:tcPr>
            <w:tcW w:w="1800" w:type="dxa"/>
            <w:tcMar>
              <w:top w:w="90" w:type="dxa"/>
              <w:left w:w="110" w:type="dxa"/>
              <w:bottom w:w="90" w:type="dxa"/>
              <w:right w:w="110" w:type="dxa"/>
            </w:tcMar>
            <w:vAlign w:val="center"/>
          </w:tcPr>
          <w:p w14:paraId="7FC959C1" w14:textId="77777777" w:rsidR="00947D72" w:rsidRPr="00BD1DA7" w:rsidRDefault="00000000">
            <w:pPr>
              <w:spacing w:after="0" w:line="240" w:lineRule="auto"/>
              <w:rPr>
                <w:lang w:val="ro-RO"/>
              </w:rPr>
            </w:pPr>
            <w:r>
              <w:rPr>
                <w:rFonts w:eastAsia="Carlito"/>
                <w:color w:val="20262B"/>
                <w:sz w:val="19"/>
                <w:lang w:val="ro-RO"/>
              </w:rPr>
              <w:t>Dec. 1989</w:t>
            </w:r>
          </w:p>
        </w:tc>
        <w:tc>
          <w:tcPr>
            <w:tcW w:w="4464" w:type="dxa"/>
            <w:tcMar>
              <w:top w:w="90" w:type="dxa"/>
              <w:left w:w="110" w:type="dxa"/>
              <w:bottom w:w="90" w:type="dxa"/>
              <w:right w:w="110" w:type="dxa"/>
            </w:tcMar>
            <w:vAlign w:val="center"/>
          </w:tcPr>
          <w:p w14:paraId="6A8541EA" w14:textId="77777777" w:rsidR="00947D72" w:rsidRPr="00BD1DA7" w:rsidRDefault="00000000">
            <w:pPr>
              <w:spacing w:after="0" w:line="240" w:lineRule="auto"/>
              <w:rPr>
                <w:lang w:val="ro-RO"/>
              </w:rPr>
            </w:pPr>
            <w:r>
              <w:rPr>
                <w:rFonts w:eastAsia="Carlito"/>
                <w:color w:val="20262B"/>
                <w:sz w:val="19"/>
                <w:lang w:val="ro-RO"/>
              </w:rPr>
              <w:t>Prăbușirea regimului comunist</w:t>
            </w:r>
          </w:p>
        </w:tc>
        <w:tc>
          <w:tcPr>
            <w:tcW w:w="3960" w:type="dxa"/>
            <w:tcMar>
              <w:top w:w="90" w:type="dxa"/>
              <w:left w:w="110" w:type="dxa"/>
              <w:bottom w:w="90" w:type="dxa"/>
              <w:right w:w="110" w:type="dxa"/>
            </w:tcMar>
            <w:vAlign w:val="center"/>
          </w:tcPr>
          <w:p w14:paraId="153E9124" w14:textId="77777777" w:rsidR="00947D72" w:rsidRPr="00BD1DA7" w:rsidRDefault="00000000">
            <w:pPr>
              <w:spacing w:after="0" w:line="240" w:lineRule="auto"/>
              <w:rPr>
                <w:lang w:val="ro-RO"/>
              </w:rPr>
            </w:pPr>
            <w:r>
              <w:rPr>
                <w:rFonts w:eastAsia="Carlito"/>
                <w:color w:val="20262B"/>
                <w:sz w:val="19"/>
                <w:lang w:val="ro-RO"/>
              </w:rPr>
              <w:t>Ruptură instituțională și reapariția pluralismului</w:t>
            </w:r>
          </w:p>
        </w:tc>
      </w:tr>
      <w:tr w:rsidR="00947D72" w:rsidRPr="00BD1DA7" w14:paraId="74097D4C" w14:textId="77777777">
        <w:trPr>
          <w:cantSplit/>
          <w:jc w:val="center"/>
        </w:trPr>
        <w:tc>
          <w:tcPr>
            <w:tcW w:w="1800" w:type="dxa"/>
            <w:shd w:val="clear" w:color="auto" w:fill="F5F7F8"/>
            <w:tcMar>
              <w:top w:w="90" w:type="dxa"/>
              <w:left w:w="110" w:type="dxa"/>
              <w:bottom w:w="90" w:type="dxa"/>
              <w:right w:w="110" w:type="dxa"/>
            </w:tcMar>
            <w:vAlign w:val="center"/>
          </w:tcPr>
          <w:p w14:paraId="303AB5B2" w14:textId="77777777" w:rsidR="00947D72" w:rsidRPr="00BD1DA7" w:rsidRDefault="00000000">
            <w:pPr>
              <w:spacing w:after="0" w:line="240" w:lineRule="auto"/>
              <w:rPr>
                <w:lang w:val="ro-RO"/>
              </w:rPr>
            </w:pPr>
            <w:r>
              <w:rPr>
                <w:rFonts w:eastAsia="Carlito"/>
                <w:color w:val="20262B"/>
                <w:sz w:val="19"/>
                <w:lang w:val="ro-RO"/>
              </w:rPr>
              <w:lastRenderedPageBreak/>
              <w:t>1991</w:t>
            </w:r>
          </w:p>
        </w:tc>
        <w:tc>
          <w:tcPr>
            <w:tcW w:w="4464" w:type="dxa"/>
            <w:shd w:val="clear" w:color="auto" w:fill="F5F7F8"/>
            <w:tcMar>
              <w:top w:w="90" w:type="dxa"/>
              <w:left w:w="110" w:type="dxa"/>
              <w:bottom w:w="90" w:type="dxa"/>
              <w:right w:w="110" w:type="dxa"/>
            </w:tcMar>
            <w:vAlign w:val="center"/>
          </w:tcPr>
          <w:p w14:paraId="575943FB" w14:textId="77777777" w:rsidR="00947D72" w:rsidRPr="00BD1DA7" w:rsidRDefault="00000000">
            <w:pPr>
              <w:spacing w:after="0" w:line="240" w:lineRule="auto"/>
              <w:rPr>
                <w:lang w:val="ro-RO"/>
              </w:rPr>
            </w:pPr>
            <w:r>
              <w:rPr>
                <w:rFonts w:eastAsia="Carlito"/>
                <w:color w:val="20262B"/>
                <w:sz w:val="19"/>
                <w:lang w:val="ro-RO"/>
              </w:rPr>
              <w:t>Constituția României, art. 30</w:t>
            </w:r>
          </w:p>
        </w:tc>
        <w:tc>
          <w:tcPr>
            <w:tcW w:w="3960" w:type="dxa"/>
            <w:shd w:val="clear" w:color="auto" w:fill="F5F7F8"/>
            <w:tcMar>
              <w:top w:w="90" w:type="dxa"/>
              <w:left w:w="110" w:type="dxa"/>
              <w:bottom w:w="90" w:type="dxa"/>
              <w:right w:w="110" w:type="dxa"/>
            </w:tcMar>
            <w:vAlign w:val="center"/>
          </w:tcPr>
          <w:p w14:paraId="1691D79E" w14:textId="77777777" w:rsidR="00947D72" w:rsidRPr="00BD1DA7" w:rsidRDefault="00000000">
            <w:pPr>
              <w:spacing w:after="0" w:line="240" w:lineRule="auto"/>
              <w:rPr>
                <w:lang w:val="ro-RO"/>
              </w:rPr>
            </w:pPr>
            <w:r>
              <w:rPr>
                <w:rFonts w:eastAsia="Carlito"/>
                <w:color w:val="20262B"/>
                <w:sz w:val="19"/>
                <w:lang w:val="ro-RO"/>
              </w:rPr>
              <w:t>Interdicție explicită a cenzurii</w:t>
            </w:r>
          </w:p>
        </w:tc>
      </w:tr>
      <w:tr w:rsidR="00947D72" w:rsidRPr="00BD1DA7" w14:paraId="051FF67A" w14:textId="77777777">
        <w:trPr>
          <w:cantSplit/>
          <w:jc w:val="center"/>
        </w:trPr>
        <w:tc>
          <w:tcPr>
            <w:tcW w:w="1800" w:type="dxa"/>
            <w:tcMar>
              <w:top w:w="90" w:type="dxa"/>
              <w:left w:w="110" w:type="dxa"/>
              <w:bottom w:w="90" w:type="dxa"/>
              <w:right w:w="110" w:type="dxa"/>
            </w:tcMar>
            <w:vAlign w:val="center"/>
          </w:tcPr>
          <w:p w14:paraId="2B18AF97" w14:textId="77777777" w:rsidR="00947D72" w:rsidRPr="00BD1DA7" w:rsidRDefault="00000000">
            <w:pPr>
              <w:spacing w:after="0" w:line="240" w:lineRule="auto"/>
              <w:rPr>
                <w:lang w:val="ro-RO"/>
              </w:rPr>
            </w:pPr>
            <w:r>
              <w:rPr>
                <w:rFonts w:eastAsia="Carlito"/>
                <w:color w:val="20262B"/>
                <w:sz w:val="19"/>
                <w:lang w:val="ro-RO"/>
              </w:rPr>
              <w:t>2002</w:t>
            </w:r>
          </w:p>
        </w:tc>
        <w:tc>
          <w:tcPr>
            <w:tcW w:w="4464" w:type="dxa"/>
            <w:tcMar>
              <w:top w:w="90" w:type="dxa"/>
              <w:left w:w="110" w:type="dxa"/>
              <w:bottom w:w="90" w:type="dxa"/>
              <w:right w:w="110" w:type="dxa"/>
            </w:tcMar>
            <w:vAlign w:val="center"/>
          </w:tcPr>
          <w:p w14:paraId="6D150BBE" w14:textId="77777777" w:rsidR="00947D72" w:rsidRPr="00BD1DA7" w:rsidRDefault="00000000">
            <w:pPr>
              <w:spacing w:after="0" w:line="240" w:lineRule="auto"/>
              <w:rPr>
                <w:lang w:val="ro-RO"/>
              </w:rPr>
            </w:pPr>
            <w:r>
              <w:rPr>
                <w:rFonts w:eastAsia="Carlito"/>
                <w:color w:val="20262B"/>
                <w:sz w:val="19"/>
                <w:lang w:val="ro-RO"/>
              </w:rPr>
              <w:t>Legea audiovizualului nr. 504/2002</w:t>
            </w:r>
          </w:p>
        </w:tc>
        <w:tc>
          <w:tcPr>
            <w:tcW w:w="3960" w:type="dxa"/>
            <w:tcMar>
              <w:top w:w="90" w:type="dxa"/>
              <w:left w:w="110" w:type="dxa"/>
              <w:bottom w:w="90" w:type="dxa"/>
              <w:right w:w="110" w:type="dxa"/>
            </w:tcMar>
            <w:vAlign w:val="center"/>
          </w:tcPr>
          <w:p w14:paraId="5B707AB2" w14:textId="77777777" w:rsidR="00947D72" w:rsidRPr="00BD1DA7" w:rsidRDefault="00000000">
            <w:pPr>
              <w:spacing w:after="0" w:line="240" w:lineRule="auto"/>
              <w:rPr>
                <w:lang w:val="ro-RO"/>
              </w:rPr>
            </w:pPr>
            <w:r>
              <w:rPr>
                <w:rFonts w:eastAsia="Carlito"/>
                <w:color w:val="20262B"/>
                <w:sz w:val="19"/>
                <w:lang w:val="ro-RO"/>
              </w:rPr>
              <w:t>Garanții pentru libertatea comunicării audiovizuale și independența editorială</w:t>
            </w:r>
          </w:p>
        </w:tc>
      </w:tr>
      <w:tr w:rsidR="00947D72" w:rsidRPr="00BD1DA7" w14:paraId="63607A9C" w14:textId="77777777">
        <w:trPr>
          <w:cantSplit/>
          <w:jc w:val="center"/>
        </w:trPr>
        <w:tc>
          <w:tcPr>
            <w:tcW w:w="1800" w:type="dxa"/>
            <w:shd w:val="clear" w:color="auto" w:fill="F5F7F8"/>
            <w:tcMar>
              <w:top w:w="90" w:type="dxa"/>
              <w:left w:w="110" w:type="dxa"/>
              <w:bottom w:w="90" w:type="dxa"/>
              <w:right w:w="110" w:type="dxa"/>
            </w:tcMar>
            <w:vAlign w:val="center"/>
          </w:tcPr>
          <w:p w14:paraId="363F6ACE" w14:textId="77777777" w:rsidR="00947D72" w:rsidRPr="00BD1DA7" w:rsidRDefault="00000000">
            <w:pPr>
              <w:spacing w:after="0" w:line="240" w:lineRule="auto"/>
              <w:rPr>
                <w:lang w:val="ro-RO"/>
              </w:rPr>
            </w:pPr>
            <w:r>
              <w:rPr>
                <w:rFonts w:eastAsia="Carlito"/>
                <w:color w:val="20262B"/>
                <w:sz w:val="19"/>
                <w:lang w:val="ro-RO"/>
              </w:rPr>
              <w:t>2007</w:t>
            </w:r>
          </w:p>
        </w:tc>
        <w:tc>
          <w:tcPr>
            <w:tcW w:w="4464" w:type="dxa"/>
            <w:shd w:val="clear" w:color="auto" w:fill="F5F7F8"/>
            <w:tcMar>
              <w:top w:w="90" w:type="dxa"/>
              <w:left w:w="110" w:type="dxa"/>
              <w:bottom w:w="90" w:type="dxa"/>
              <w:right w:w="110" w:type="dxa"/>
            </w:tcMar>
            <w:vAlign w:val="center"/>
          </w:tcPr>
          <w:p w14:paraId="39F13B6D" w14:textId="77777777" w:rsidR="00947D72" w:rsidRPr="00BD1DA7" w:rsidRDefault="00000000">
            <w:pPr>
              <w:spacing w:after="0" w:line="240" w:lineRule="auto"/>
              <w:rPr>
                <w:lang w:val="ro-RO"/>
              </w:rPr>
            </w:pPr>
            <w:r>
              <w:rPr>
                <w:rFonts w:eastAsia="Carlito"/>
                <w:color w:val="20262B"/>
                <w:sz w:val="19"/>
                <w:lang w:val="ro-RO"/>
              </w:rPr>
              <w:t>Aderarea României la UE</w:t>
            </w:r>
          </w:p>
        </w:tc>
        <w:tc>
          <w:tcPr>
            <w:tcW w:w="3960" w:type="dxa"/>
            <w:shd w:val="clear" w:color="auto" w:fill="F5F7F8"/>
            <w:tcMar>
              <w:top w:w="90" w:type="dxa"/>
              <w:left w:w="110" w:type="dxa"/>
              <w:bottom w:w="90" w:type="dxa"/>
              <w:right w:w="110" w:type="dxa"/>
            </w:tcMar>
            <w:vAlign w:val="center"/>
          </w:tcPr>
          <w:p w14:paraId="76818F39" w14:textId="77777777" w:rsidR="00947D72" w:rsidRPr="00BD1DA7" w:rsidRDefault="00000000">
            <w:pPr>
              <w:spacing w:after="0" w:line="240" w:lineRule="auto"/>
              <w:rPr>
                <w:lang w:val="ro-RO"/>
              </w:rPr>
            </w:pPr>
            <w:r>
              <w:rPr>
                <w:rFonts w:eastAsia="Carlito"/>
                <w:color w:val="20262B"/>
                <w:sz w:val="19"/>
                <w:lang w:val="ro-RO"/>
              </w:rPr>
              <w:t>Integrare într-un cadru european de drepturi și reglementare</w:t>
            </w:r>
          </w:p>
        </w:tc>
      </w:tr>
      <w:tr w:rsidR="00947D72" w:rsidRPr="00BD1DA7" w14:paraId="7E0B24E2" w14:textId="77777777">
        <w:trPr>
          <w:jc w:val="center"/>
        </w:trPr>
        <w:tc>
          <w:tcPr>
            <w:tcW w:w="3293" w:type="dxa"/>
            <w:tcMar>
              <w:top w:w="90" w:type="dxa"/>
              <w:left w:w="110" w:type="dxa"/>
              <w:bottom w:w="90" w:type="dxa"/>
              <w:right w:w="110" w:type="dxa"/>
            </w:tcMar>
            <w:vAlign w:val="center"/>
          </w:tcPr>
          <w:p w14:paraId="074CAB16" w14:textId="77777777" w:rsidR="00947D72" w:rsidRPr="00BD1DA7" w:rsidRDefault="00000000">
            <w:pPr>
              <w:spacing w:after="0"/>
              <w:rPr>
                <w:lang w:val="ro-RO"/>
              </w:rPr>
            </w:pPr>
            <w:r>
              <w:rPr>
                <w:sz w:val="18"/>
                <w:lang w:val="ro-RO"/>
              </w:rPr>
              <w:t>Anii 2010-2020</w:t>
            </w:r>
          </w:p>
        </w:tc>
        <w:tc>
          <w:tcPr>
            <w:tcW w:w="3293" w:type="dxa"/>
            <w:tcMar>
              <w:top w:w="90" w:type="dxa"/>
              <w:left w:w="110" w:type="dxa"/>
              <w:bottom w:w="90" w:type="dxa"/>
              <w:right w:w="110" w:type="dxa"/>
            </w:tcMar>
            <w:vAlign w:val="center"/>
          </w:tcPr>
          <w:p w14:paraId="234C1A80" w14:textId="77777777" w:rsidR="00947D72" w:rsidRPr="00BD1DA7" w:rsidRDefault="00000000">
            <w:pPr>
              <w:spacing w:after="0"/>
              <w:rPr>
                <w:lang w:val="ro-RO"/>
              </w:rPr>
            </w:pPr>
            <w:r>
              <w:rPr>
                <w:sz w:val="18"/>
                <w:lang w:val="ro-RO"/>
              </w:rPr>
              <w:t>Extinderea platformelor globale și a dezbaterii despre „Cancel Culture”</w:t>
            </w:r>
          </w:p>
        </w:tc>
        <w:tc>
          <w:tcPr>
            <w:tcW w:w="3293" w:type="dxa"/>
            <w:tcMar>
              <w:top w:w="90" w:type="dxa"/>
              <w:left w:w="110" w:type="dxa"/>
              <w:bottom w:w="90" w:type="dxa"/>
              <w:right w:w="110" w:type="dxa"/>
            </w:tcMar>
            <w:vAlign w:val="center"/>
          </w:tcPr>
          <w:p w14:paraId="39A15A1F" w14:textId="77777777" w:rsidR="00947D72" w:rsidRPr="00BD1DA7" w:rsidRDefault="00000000">
            <w:pPr>
              <w:spacing w:after="0"/>
              <w:rPr>
                <w:lang w:val="ro-RO"/>
              </w:rPr>
            </w:pPr>
            <w:r>
              <w:rPr>
                <w:sz w:val="18"/>
                <w:lang w:val="ro-RO"/>
              </w:rPr>
              <w:t>Creșterea rolului sancțiunii reputaționale, deplatformării și moderării private în distribuția vizibilității</w:t>
            </w:r>
          </w:p>
        </w:tc>
      </w:tr>
      <w:tr w:rsidR="00947D72" w:rsidRPr="00BD1DA7" w14:paraId="5E5623D1" w14:textId="77777777">
        <w:trPr>
          <w:cantSplit/>
          <w:jc w:val="center"/>
        </w:trPr>
        <w:tc>
          <w:tcPr>
            <w:tcW w:w="1800" w:type="dxa"/>
            <w:tcMar>
              <w:top w:w="90" w:type="dxa"/>
              <w:left w:w="110" w:type="dxa"/>
              <w:bottom w:w="90" w:type="dxa"/>
              <w:right w:w="110" w:type="dxa"/>
            </w:tcMar>
            <w:vAlign w:val="center"/>
          </w:tcPr>
          <w:p w14:paraId="0C92F933" w14:textId="77777777" w:rsidR="00947D72" w:rsidRPr="00BD1DA7" w:rsidRDefault="00000000">
            <w:pPr>
              <w:spacing w:after="0" w:line="240" w:lineRule="auto"/>
              <w:rPr>
                <w:lang w:val="ro-RO"/>
              </w:rPr>
            </w:pPr>
            <w:r>
              <w:rPr>
                <w:rFonts w:eastAsia="Carlito"/>
                <w:color w:val="20262B"/>
                <w:sz w:val="19"/>
                <w:lang w:val="ro-RO"/>
              </w:rPr>
              <w:t>2022-2024</w:t>
            </w:r>
          </w:p>
        </w:tc>
        <w:tc>
          <w:tcPr>
            <w:tcW w:w="4464" w:type="dxa"/>
            <w:tcMar>
              <w:top w:w="90" w:type="dxa"/>
              <w:left w:w="110" w:type="dxa"/>
              <w:bottom w:w="90" w:type="dxa"/>
              <w:right w:w="110" w:type="dxa"/>
            </w:tcMar>
            <w:vAlign w:val="center"/>
          </w:tcPr>
          <w:p w14:paraId="7D6EE02E" w14:textId="77777777" w:rsidR="00947D72" w:rsidRPr="00BD1DA7" w:rsidRDefault="00000000">
            <w:pPr>
              <w:spacing w:after="0" w:line="240" w:lineRule="auto"/>
              <w:rPr>
                <w:lang w:val="ro-RO"/>
              </w:rPr>
            </w:pPr>
            <w:r>
              <w:rPr>
                <w:rFonts w:eastAsia="Carlito"/>
                <w:color w:val="20262B"/>
                <w:sz w:val="19"/>
                <w:lang w:val="ro-RO"/>
              </w:rPr>
              <w:t>Adoptarea și aplicarea DSA</w:t>
            </w:r>
          </w:p>
        </w:tc>
        <w:tc>
          <w:tcPr>
            <w:tcW w:w="3960" w:type="dxa"/>
            <w:tcMar>
              <w:top w:w="90" w:type="dxa"/>
              <w:left w:w="110" w:type="dxa"/>
              <w:bottom w:w="90" w:type="dxa"/>
              <w:right w:w="110" w:type="dxa"/>
            </w:tcMar>
            <w:vAlign w:val="center"/>
          </w:tcPr>
          <w:p w14:paraId="219B4FEE" w14:textId="77777777" w:rsidR="00947D72" w:rsidRPr="00BD1DA7" w:rsidRDefault="00000000">
            <w:pPr>
              <w:spacing w:after="0" w:line="240" w:lineRule="auto"/>
              <w:rPr>
                <w:lang w:val="ro-RO"/>
              </w:rPr>
            </w:pPr>
            <w:r>
              <w:rPr>
                <w:rFonts w:eastAsia="Carlito"/>
                <w:color w:val="20262B"/>
                <w:sz w:val="19"/>
                <w:lang w:val="ro-RO"/>
              </w:rPr>
              <w:t>Guvernanță a platformelor, transparență și obligații de risc</w:t>
            </w:r>
          </w:p>
        </w:tc>
      </w:tr>
      <w:tr w:rsidR="00947D72" w:rsidRPr="00BD1DA7" w14:paraId="61BCB39F" w14:textId="77777777">
        <w:trPr>
          <w:cantSplit/>
          <w:jc w:val="center"/>
        </w:trPr>
        <w:tc>
          <w:tcPr>
            <w:tcW w:w="1800" w:type="dxa"/>
            <w:shd w:val="clear" w:color="auto" w:fill="F5F7F8"/>
            <w:tcMar>
              <w:top w:w="90" w:type="dxa"/>
              <w:left w:w="110" w:type="dxa"/>
              <w:bottom w:w="90" w:type="dxa"/>
              <w:right w:w="110" w:type="dxa"/>
            </w:tcMar>
            <w:vAlign w:val="center"/>
          </w:tcPr>
          <w:p w14:paraId="29A8F845" w14:textId="77777777" w:rsidR="00947D72" w:rsidRPr="00BD1DA7" w:rsidRDefault="00000000">
            <w:pPr>
              <w:spacing w:after="0" w:line="240" w:lineRule="auto"/>
              <w:rPr>
                <w:lang w:val="ro-RO"/>
              </w:rPr>
            </w:pPr>
            <w:r>
              <w:rPr>
                <w:rFonts w:eastAsia="Carlito"/>
                <w:color w:val="20262B"/>
                <w:sz w:val="19"/>
                <w:lang w:val="ro-RO"/>
              </w:rPr>
              <w:t>24 nov. 2024</w:t>
            </w:r>
          </w:p>
        </w:tc>
        <w:tc>
          <w:tcPr>
            <w:tcW w:w="4464" w:type="dxa"/>
            <w:shd w:val="clear" w:color="auto" w:fill="F5F7F8"/>
            <w:tcMar>
              <w:top w:w="90" w:type="dxa"/>
              <w:left w:w="110" w:type="dxa"/>
              <w:bottom w:w="90" w:type="dxa"/>
              <w:right w:w="110" w:type="dxa"/>
            </w:tcMar>
            <w:vAlign w:val="center"/>
          </w:tcPr>
          <w:p w14:paraId="524945C2" w14:textId="77777777" w:rsidR="00947D72" w:rsidRPr="00BD1DA7" w:rsidRDefault="00000000">
            <w:pPr>
              <w:spacing w:after="0" w:line="240" w:lineRule="auto"/>
              <w:rPr>
                <w:lang w:val="ro-RO"/>
              </w:rPr>
            </w:pPr>
            <w:r>
              <w:rPr>
                <w:rFonts w:eastAsia="Carlito"/>
                <w:color w:val="20262B"/>
                <w:sz w:val="19"/>
                <w:lang w:val="ro-RO"/>
              </w:rPr>
              <w:t>Primul tur prezidențial</w:t>
            </w:r>
          </w:p>
        </w:tc>
        <w:tc>
          <w:tcPr>
            <w:tcW w:w="3960" w:type="dxa"/>
            <w:shd w:val="clear" w:color="auto" w:fill="F5F7F8"/>
            <w:tcMar>
              <w:top w:w="90" w:type="dxa"/>
              <w:left w:w="110" w:type="dxa"/>
              <w:bottom w:w="90" w:type="dxa"/>
              <w:right w:w="110" w:type="dxa"/>
            </w:tcMar>
            <w:vAlign w:val="center"/>
          </w:tcPr>
          <w:p w14:paraId="60060362" w14:textId="77777777" w:rsidR="00947D72" w:rsidRPr="00BD1DA7" w:rsidRDefault="00000000">
            <w:pPr>
              <w:spacing w:after="0" w:line="240" w:lineRule="auto"/>
              <w:rPr>
                <w:lang w:val="ro-RO"/>
              </w:rPr>
            </w:pPr>
            <w:r>
              <w:rPr>
                <w:rFonts w:eastAsia="Carlito"/>
                <w:color w:val="20262B"/>
                <w:sz w:val="19"/>
                <w:lang w:val="ro-RO"/>
              </w:rPr>
              <w:t>Criză de integritate electorală și informațională</w:t>
            </w:r>
          </w:p>
        </w:tc>
      </w:tr>
      <w:tr w:rsidR="00947D72" w:rsidRPr="00BD1DA7" w14:paraId="4F58206A" w14:textId="77777777">
        <w:trPr>
          <w:cantSplit/>
          <w:jc w:val="center"/>
        </w:trPr>
        <w:tc>
          <w:tcPr>
            <w:tcW w:w="1800" w:type="dxa"/>
            <w:tcMar>
              <w:top w:w="90" w:type="dxa"/>
              <w:left w:w="110" w:type="dxa"/>
              <w:bottom w:w="90" w:type="dxa"/>
              <w:right w:w="110" w:type="dxa"/>
            </w:tcMar>
            <w:vAlign w:val="center"/>
          </w:tcPr>
          <w:p w14:paraId="1F43BF9E" w14:textId="77777777" w:rsidR="00947D72" w:rsidRPr="00BD1DA7" w:rsidRDefault="00000000">
            <w:pPr>
              <w:spacing w:after="0" w:line="240" w:lineRule="auto"/>
              <w:rPr>
                <w:lang w:val="ro-RO"/>
              </w:rPr>
            </w:pPr>
            <w:r>
              <w:rPr>
                <w:rFonts w:eastAsia="Carlito"/>
                <w:color w:val="20262B"/>
                <w:sz w:val="19"/>
                <w:lang w:val="ro-RO"/>
              </w:rPr>
              <w:t>6 dec. 2024</w:t>
            </w:r>
          </w:p>
        </w:tc>
        <w:tc>
          <w:tcPr>
            <w:tcW w:w="4464" w:type="dxa"/>
            <w:tcMar>
              <w:top w:w="90" w:type="dxa"/>
              <w:left w:w="110" w:type="dxa"/>
              <w:bottom w:w="90" w:type="dxa"/>
              <w:right w:w="110" w:type="dxa"/>
            </w:tcMar>
            <w:vAlign w:val="center"/>
          </w:tcPr>
          <w:p w14:paraId="051AD69C" w14:textId="77777777" w:rsidR="00947D72" w:rsidRPr="00BD1DA7" w:rsidRDefault="00000000">
            <w:pPr>
              <w:spacing w:after="0" w:line="240" w:lineRule="auto"/>
              <w:rPr>
                <w:lang w:val="ro-RO"/>
              </w:rPr>
            </w:pPr>
            <w:r>
              <w:rPr>
                <w:rFonts w:eastAsia="Carlito"/>
                <w:color w:val="20262B"/>
                <w:sz w:val="19"/>
                <w:lang w:val="ro-RO"/>
              </w:rPr>
              <w:t>CCR, Hotărârea nr. 32</w:t>
            </w:r>
          </w:p>
        </w:tc>
        <w:tc>
          <w:tcPr>
            <w:tcW w:w="3960" w:type="dxa"/>
            <w:tcMar>
              <w:top w:w="90" w:type="dxa"/>
              <w:left w:w="110" w:type="dxa"/>
              <w:bottom w:w="90" w:type="dxa"/>
              <w:right w:w="110" w:type="dxa"/>
            </w:tcMar>
            <w:vAlign w:val="center"/>
          </w:tcPr>
          <w:p w14:paraId="71A7D9B6" w14:textId="77777777" w:rsidR="00947D72" w:rsidRPr="00BD1DA7" w:rsidRDefault="00000000">
            <w:pPr>
              <w:spacing w:after="0" w:line="240" w:lineRule="auto"/>
              <w:rPr>
                <w:lang w:val="ro-RO"/>
              </w:rPr>
            </w:pPr>
            <w:r>
              <w:rPr>
                <w:rFonts w:eastAsia="Carlito"/>
                <w:color w:val="20262B"/>
                <w:sz w:val="19"/>
                <w:lang w:val="ro-RO"/>
              </w:rPr>
              <w:t>Anularea întregului proces electoral</w:t>
            </w:r>
          </w:p>
        </w:tc>
      </w:tr>
      <w:tr w:rsidR="00947D72" w:rsidRPr="00BD1DA7" w14:paraId="638636F0" w14:textId="77777777">
        <w:trPr>
          <w:cantSplit/>
          <w:jc w:val="center"/>
        </w:trPr>
        <w:tc>
          <w:tcPr>
            <w:tcW w:w="1800" w:type="dxa"/>
            <w:shd w:val="clear" w:color="auto" w:fill="F5F7F8"/>
            <w:tcMar>
              <w:top w:w="90" w:type="dxa"/>
              <w:left w:w="110" w:type="dxa"/>
              <w:bottom w:w="90" w:type="dxa"/>
              <w:right w:w="110" w:type="dxa"/>
            </w:tcMar>
            <w:vAlign w:val="center"/>
          </w:tcPr>
          <w:p w14:paraId="02E061BF" w14:textId="77777777" w:rsidR="00947D72" w:rsidRPr="00BD1DA7" w:rsidRDefault="00000000">
            <w:pPr>
              <w:spacing w:after="0" w:line="240" w:lineRule="auto"/>
              <w:rPr>
                <w:lang w:val="ro-RO"/>
              </w:rPr>
            </w:pPr>
            <w:r>
              <w:rPr>
                <w:rFonts w:eastAsia="Carlito"/>
                <w:color w:val="20262B"/>
                <w:sz w:val="19"/>
                <w:lang w:val="ro-RO"/>
              </w:rPr>
              <w:t>17 dec. 2024</w:t>
            </w:r>
          </w:p>
        </w:tc>
        <w:tc>
          <w:tcPr>
            <w:tcW w:w="4464" w:type="dxa"/>
            <w:shd w:val="clear" w:color="auto" w:fill="F5F7F8"/>
            <w:tcMar>
              <w:top w:w="90" w:type="dxa"/>
              <w:left w:w="110" w:type="dxa"/>
              <w:bottom w:w="90" w:type="dxa"/>
              <w:right w:w="110" w:type="dxa"/>
            </w:tcMar>
            <w:vAlign w:val="center"/>
          </w:tcPr>
          <w:p w14:paraId="75128AB1" w14:textId="77777777" w:rsidR="00947D72" w:rsidRPr="00BD1DA7" w:rsidRDefault="00000000">
            <w:pPr>
              <w:spacing w:after="0" w:line="240" w:lineRule="auto"/>
              <w:rPr>
                <w:lang w:val="ro-RO"/>
              </w:rPr>
            </w:pPr>
            <w:r>
              <w:rPr>
                <w:rFonts w:eastAsia="Carlito"/>
                <w:color w:val="20262B"/>
                <w:sz w:val="19"/>
                <w:lang w:val="ro-RO"/>
              </w:rPr>
              <w:t>Procedură formală CE împotriva TikTok</w:t>
            </w:r>
          </w:p>
        </w:tc>
        <w:tc>
          <w:tcPr>
            <w:tcW w:w="3960" w:type="dxa"/>
            <w:shd w:val="clear" w:color="auto" w:fill="F5F7F8"/>
            <w:tcMar>
              <w:top w:w="90" w:type="dxa"/>
              <w:left w:w="110" w:type="dxa"/>
              <w:bottom w:w="90" w:type="dxa"/>
              <w:right w:w="110" w:type="dxa"/>
            </w:tcMar>
            <w:vAlign w:val="center"/>
          </w:tcPr>
          <w:p w14:paraId="635F8BE2" w14:textId="77777777" w:rsidR="00947D72" w:rsidRPr="00BD1DA7" w:rsidRDefault="00000000">
            <w:pPr>
              <w:spacing w:after="0" w:line="240" w:lineRule="auto"/>
              <w:rPr>
                <w:lang w:val="ro-RO"/>
              </w:rPr>
            </w:pPr>
            <w:r>
              <w:rPr>
                <w:rFonts w:eastAsia="Carlito"/>
                <w:color w:val="20262B"/>
                <w:sz w:val="19"/>
                <w:lang w:val="ro-RO"/>
              </w:rPr>
              <w:t>Control DSA asupra riscurilor electorale</w:t>
            </w:r>
          </w:p>
        </w:tc>
      </w:tr>
      <w:tr w:rsidR="00947D72" w:rsidRPr="00BD1DA7" w14:paraId="4FA22073" w14:textId="77777777">
        <w:trPr>
          <w:cantSplit/>
          <w:jc w:val="center"/>
        </w:trPr>
        <w:tc>
          <w:tcPr>
            <w:tcW w:w="1800" w:type="dxa"/>
            <w:tcMar>
              <w:top w:w="90" w:type="dxa"/>
              <w:left w:w="110" w:type="dxa"/>
              <w:bottom w:w="90" w:type="dxa"/>
              <w:right w:w="110" w:type="dxa"/>
            </w:tcMar>
            <w:vAlign w:val="center"/>
          </w:tcPr>
          <w:p w14:paraId="2EF68D39" w14:textId="77777777" w:rsidR="00947D72" w:rsidRPr="00BD1DA7" w:rsidRDefault="00000000">
            <w:pPr>
              <w:spacing w:after="0" w:line="240" w:lineRule="auto"/>
              <w:rPr>
                <w:lang w:val="ro-RO"/>
              </w:rPr>
            </w:pPr>
            <w:r>
              <w:rPr>
                <w:rFonts w:eastAsia="Carlito"/>
                <w:color w:val="20262B"/>
                <w:sz w:val="19"/>
                <w:lang w:val="ro-RO"/>
              </w:rPr>
              <w:t>Mar. 2025</w:t>
            </w:r>
          </w:p>
        </w:tc>
        <w:tc>
          <w:tcPr>
            <w:tcW w:w="4464" w:type="dxa"/>
            <w:tcMar>
              <w:top w:w="90" w:type="dxa"/>
              <w:left w:w="110" w:type="dxa"/>
              <w:bottom w:w="90" w:type="dxa"/>
              <w:right w:w="110" w:type="dxa"/>
            </w:tcMar>
            <w:vAlign w:val="center"/>
          </w:tcPr>
          <w:p w14:paraId="43949D19" w14:textId="77777777" w:rsidR="00947D72" w:rsidRPr="00BD1DA7" w:rsidRDefault="00000000">
            <w:pPr>
              <w:spacing w:after="0" w:line="240" w:lineRule="auto"/>
              <w:rPr>
                <w:lang w:val="ro-RO"/>
              </w:rPr>
            </w:pPr>
            <w:r>
              <w:rPr>
                <w:rFonts w:eastAsia="Carlito"/>
                <w:color w:val="20262B"/>
                <w:sz w:val="19"/>
                <w:lang w:val="ro-RO"/>
              </w:rPr>
              <w:t>Raportul Comisiei de la Veneția</w:t>
            </w:r>
          </w:p>
        </w:tc>
        <w:tc>
          <w:tcPr>
            <w:tcW w:w="3960" w:type="dxa"/>
            <w:tcMar>
              <w:top w:w="90" w:type="dxa"/>
              <w:left w:w="110" w:type="dxa"/>
              <w:bottom w:w="90" w:type="dxa"/>
              <w:right w:w="110" w:type="dxa"/>
            </w:tcMar>
            <w:vAlign w:val="center"/>
          </w:tcPr>
          <w:p w14:paraId="375B964F" w14:textId="77777777" w:rsidR="00947D72" w:rsidRPr="00BD1DA7" w:rsidRDefault="00000000">
            <w:pPr>
              <w:spacing w:after="0" w:line="240" w:lineRule="auto"/>
              <w:rPr>
                <w:lang w:val="ro-RO"/>
              </w:rPr>
            </w:pPr>
            <w:r>
              <w:rPr>
                <w:rFonts w:eastAsia="Carlito"/>
                <w:color w:val="20262B"/>
                <w:sz w:val="19"/>
                <w:lang w:val="ro-RO"/>
              </w:rPr>
              <w:t>Standarde pentru anularea alegerilor</w:t>
            </w:r>
          </w:p>
        </w:tc>
      </w:tr>
      <w:tr w:rsidR="00947D72" w:rsidRPr="00BD1DA7" w14:paraId="0C97A9FF" w14:textId="77777777">
        <w:trPr>
          <w:cantSplit/>
          <w:jc w:val="center"/>
        </w:trPr>
        <w:tc>
          <w:tcPr>
            <w:tcW w:w="1800" w:type="dxa"/>
            <w:shd w:val="clear" w:color="auto" w:fill="F5F7F8"/>
            <w:tcMar>
              <w:top w:w="90" w:type="dxa"/>
              <w:left w:w="110" w:type="dxa"/>
              <w:bottom w:w="90" w:type="dxa"/>
              <w:right w:w="110" w:type="dxa"/>
            </w:tcMar>
            <w:vAlign w:val="center"/>
          </w:tcPr>
          <w:p w14:paraId="19C3CE1F" w14:textId="77777777" w:rsidR="00947D72" w:rsidRPr="00BD1DA7" w:rsidRDefault="00000000">
            <w:pPr>
              <w:spacing w:after="0" w:line="240" w:lineRule="auto"/>
              <w:rPr>
                <w:lang w:val="ro-RO"/>
              </w:rPr>
            </w:pPr>
            <w:r>
              <w:rPr>
                <w:rFonts w:eastAsia="Carlito"/>
                <w:color w:val="20262B"/>
                <w:sz w:val="19"/>
                <w:lang w:val="ro-RO"/>
              </w:rPr>
              <w:t>Mai 2025</w:t>
            </w:r>
          </w:p>
        </w:tc>
        <w:tc>
          <w:tcPr>
            <w:tcW w:w="4464" w:type="dxa"/>
            <w:shd w:val="clear" w:color="auto" w:fill="F5F7F8"/>
            <w:tcMar>
              <w:top w:w="90" w:type="dxa"/>
              <w:left w:w="110" w:type="dxa"/>
              <w:bottom w:w="90" w:type="dxa"/>
              <w:right w:w="110" w:type="dxa"/>
            </w:tcMar>
            <w:vAlign w:val="center"/>
          </w:tcPr>
          <w:p w14:paraId="07C735C9" w14:textId="77777777" w:rsidR="00947D72" w:rsidRPr="00BD1DA7" w:rsidRDefault="00000000">
            <w:pPr>
              <w:spacing w:after="0" w:line="240" w:lineRule="auto"/>
              <w:rPr>
                <w:lang w:val="ro-RO"/>
              </w:rPr>
            </w:pPr>
            <w:r>
              <w:rPr>
                <w:rFonts w:eastAsia="Carlito"/>
                <w:color w:val="20262B"/>
                <w:sz w:val="19"/>
                <w:lang w:val="ro-RO"/>
              </w:rPr>
              <w:t>Alegerile prezidențiale repetate</w:t>
            </w:r>
          </w:p>
        </w:tc>
        <w:tc>
          <w:tcPr>
            <w:tcW w:w="3960" w:type="dxa"/>
            <w:shd w:val="clear" w:color="auto" w:fill="F5F7F8"/>
            <w:tcMar>
              <w:top w:w="90" w:type="dxa"/>
              <w:left w:w="110" w:type="dxa"/>
              <w:bottom w:w="90" w:type="dxa"/>
              <w:right w:w="110" w:type="dxa"/>
            </w:tcMar>
            <w:vAlign w:val="center"/>
          </w:tcPr>
          <w:p w14:paraId="00670E2E" w14:textId="77777777" w:rsidR="00947D72" w:rsidRPr="00BD1DA7" w:rsidRDefault="00000000">
            <w:pPr>
              <w:spacing w:after="0" w:line="240" w:lineRule="auto"/>
              <w:rPr>
                <w:lang w:val="ro-RO"/>
              </w:rPr>
            </w:pPr>
            <w:r>
              <w:rPr>
                <w:rFonts w:eastAsia="Carlito"/>
                <w:color w:val="20262B"/>
                <w:sz w:val="19"/>
                <w:lang w:val="ro-RO"/>
              </w:rPr>
              <w:t>Restabilirea unui rezultat electoral validat</w:t>
            </w:r>
          </w:p>
        </w:tc>
      </w:tr>
      <w:tr w:rsidR="00947D72" w:rsidRPr="00BD1DA7" w14:paraId="0116B118" w14:textId="77777777">
        <w:trPr>
          <w:cantSplit/>
          <w:jc w:val="center"/>
        </w:trPr>
        <w:tc>
          <w:tcPr>
            <w:tcW w:w="1800" w:type="dxa"/>
            <w:tcMar>
              <w:top w:w="90" w:type="dxa"/>
              <w:left w:w="110" w:type="dxa"/>
              <w:bottom w:w="90" w:type="dxa"/>
              <w:right w:w="110" w:type="dxa"/>
            </w:tcMar>
            <w:vAlign w:val="center"/>
          </w:tcPr>
          <w:p w14:paraId="3161405B" w14:textId="77777777" w:rsidR="00947D72" w:rsidRPr="00BD1DA7" w:rsidRDefault="00000000">
            <w:pPr>
              <w:spacing w:after="0" w:line="240" w:lineRule="auto"/>
              <w:rPr>
                <w:lang w:val="ro-RO"/>
              </w:rPr>
            </w:pPr>
            <w:r>
              <w:rPr>
                <w:rFonts w:eastAsia="Carlito"/>
                <w:color w:val="20262B"/>
                <w:sz w:val="19"/>
                <w:lang w:val="ro-RO"/>
              </w:rPr>
              <w:t>Oct. 2025</w:t>
            </w:r>
          </w:p>
        </w:tc>
        <w:tc>
          <w:tcPr>
            <w:tcW w:w="4464" w:type="dxa"/>
            <w:tcMar>
              <w:top w:w="90" w:type="dxa"/>
              <w:left w:w="110" w:type="dxa"/>
              <w:bottom w:w="90" w:type="dxa"/>
              <w:right w:w="110" w:type="dxa"/>
            </w:tcMar>
            <w:vAlign w:val="center"/>
          </w:tcPr>
          <w:p w14:paraId="7AEEA50F" w14:textId="77777777" w:rsidR="00947D72" w:rsidRPr="00BD1DA7" w:rsidRDefault="00000000">
            <w:pPr>
              <w:spacing w:after="0" w:line="240" w:lineRule="auto"/>
              <w:rPr>
                <w:lang w:val="ro-RO"/>
              </w:rPr>
            </w:pPr>
            <w:r>
              <w:rPr>
                <w:rFonts w:eastAsia="Carlito"/>
                <w:color w:val="20262B"/>
                <w:sz w:val="19"/>
                <w:lang w:val="ro-RO"/>
              </w:rPr>
              <w:t>Raport final ODIHR</w:t>
            </w:r>
          </w:p>
        </w:tc>
        <w:tc>
          <w:tcPr>
            <w:tcW w:w="3960" w:type="dxa"/>
            <w:tcMar>
              <w:top w:w="90" w:type="dxa"/>
              <w:left w:w="110" w:type="dxa"/>
              <w:bottom w:w="90" w:type="dxa"/>
              <w:right w:w="110" w:type="dxa"/>
            </w:tcMar>
            <w:vAlign w:val="center"/>
          </w:tcPr>
          <w:p w14:paraId="303F2261" w14:textId="77777777" w:rsidR="00947D72" w:rsidRPr="00BD1DA7" w:rsidRDefault="00000000">
            <w:pPr>
              <w:spacing w:after="0" w:line="240" w:lineRule="auto"/>
              <w:rPr>
                <w:lang w:val="ro-RO"/>
              </w:rPr>
            </w:pPr>
            <w:r>
              <w:rPr>
                <w:rFonts w:eastAsia="Carlito"/>
                <w:color w:val="20262B"/>
                <w:sz w:val="19"/>
                <w:lang w:val="ro-RO"/>
              </w:rPr>
              <w:t>Evaluare mixtă: administrare eficientă, dar vulnerabilități online și de supraveghere</w:t>
            </w:r>
          </w:p>
        </w:tc>
      </w:tr>
      <w:tr w:rsidR="00947D72" w:rsidRPr="00BD1DA7" w14:paraId="13A8E934" w14:textId="77777777">
        <w:trPr>
          <w:cantSplit/>
          <w:jc w:val="center"/>
        </w:trPr>
        <w:tc>
          <w:tcPr>
            <w:tcW w:w="1800" w:type="dxa"/>
            <w:shd w:val="clear" w:color="auto" w:fill="F5F7F8"/>
            <w:tcMar>
              <w:top w:w="90" w:type="dxa"/>
              <w:left w:w="110" w:type="dxa"/>
              <w:bottom w:w="90" w:type="dxa"/>
              <w:right w:w="110" w:type="dxa"/>
            </w:tcMar>
            <w:vAlign w:val="center"/>
          </w:tcPr>
          <w:p w14:paraId="5E948EA1" w14:textId="77777777" w:rsidR="00947D72" w:rsidRPr="00BD1DA7" w:rsidRDefault="00000000">
            <w:pPr>
              <w:spacing w:after="0" w:line="240" w:lineRule="auto"/>
              <w:rPr>
                <w:lang w:val="ro-RO"/>
              </w:rPr>
            </w:pPr>
            <w:r>
              <w:rPr>
                <w:rFonts w:eastAsia="Carlito"/>
                <w:color w:val="20262B"/>
                <w:sz w:val="19"/>
                <w:lang w:val="ro-RO"/>
              </w:rPr>
              <w:t>2026</w:t>
            </w:r>
          </w:p>
        </w:tc>
        <w:tc>
          <w:tcPr>
            <w:tcW w:w="4464" w:type="dxa"/>
            <w:shd w:val="clear" w:color="auto" w:fill="F5F7F8"/>
            <w:tcMar>
              <w:top w:w="90" w:type="dxa"/>
              <w:left w:w="110" w:type="dxa"/>
              <w:bottom w:w="90" w:type="dxa"/>
              <w:right w:w="110" w:type="dxa"/>
            </w:tcMar>
            <w:vAlign w:val="center"/>
          </w:tcPr>
          <w:p w14:paraId="04309713" w14:textId="77777777" w:rsidR="00947D72" w:rsidRPr="00BD1DA7" w:rsidRDefault="00000000">
            <w:pPr>
              <w:spacing w:after="0" w:line="240" w:lineRule="auto"/>
              <w:rPr>
                <w:lang w:val="ro-RO"/>
              </w:rPr>
            </w:pPr>
            <w:r>
              <w:rPr>
                <w:rFonts w:eastAsia="Carlito"/>
                <w:color w:val="20262B"/>
                <w:sz w:val="19"/>
                <w:lang w:val="ro-RO"/>
              </w:rPr>
              <w:t>MPM 2026 și Raportul UE privind statul de drept</w:t>
            </w:r>
          </w:p>
        </w:tc>
        <w:tc>
          <w:tcPr>
            <w:tcW w:w="3960" w:type="dxa"/>
            <w:shd w:val="clear" w:color="auto" w:fill="F5F7F8"/>
            <w:tcMar>
              <w:top w:w="90" w:type="dxa"/>
              <w:left w:w="110" w:type="dxa"/>
              <w:bottom w:w="90" w:type="dxa"/>
              <w:right w:w="110" w:type="dxa"/>
            </w:tcMar>
            <w:vAlign w:val="center"/>
          </w:tcPr>
          <w:p w14:paraId="57207803" w14:textId="77777777" w:rsidR="00947D72" w:rsidRPr="00BD1DA7" w:rsidRDefault="00000000">
            <w:pPr>
              <w:spacing w:after="0" w:line="240" w:lineRule="auto"/>
              <w:rPr>
                <w:lang w:val="ro-RO"/>
              </w:rPr>
            </w:pPr>
            <w:r>
              <w:rPr>
                <w:rFonts w:eastAsia="Carlito"/>
                <w:color w:val="20262B"/>
                <w:sz w:val="19"/>
                <w:lang w:val="ro-RO"/>
              </w:rPr>
              <w:t>Persistența problemelor de pluralism, piață și independență media</w:t>
            </w:r>
          </w:p>
        </w:tc>
      </w:tr>
    </w:tbl>
    <w:p w14:paraId="520728C3" w14:textId="77777777" w:rsidR="00947D72" w:rsidRPr="00BD1DA7" w:rsidRDefault="00947D72">
      <w:pPr>
        <w:spacing w:after="20"/>
        <w:rPr>
          <w:lang w:val="ro-RO"/>
        </w:rPr>
      </w:pPr>
    </w:p>
    <w:p w14:paraId="77B39581" w14:textId="77777777" w:rsidR="00947D72" w:rsidRPr="00BD1DA7" w:rsidRDefault="00000000">
      <w:pPr>
        <w:rPr>
          <w:lang w:val="ro-RO"/>
        </w:rPr>
      </w:pPr>
      <w:r>
        <w:rPr>
          <w:rFonts w:eastAsia="Carlito"/>
          <w:lang w:val="ro-RO"/>
        </w:rPr>
        <w:br w:type="page"/>
      </w:r>
    </w:p>
    <w:p w14:paraId="3F7B7FCE" w14:textId="77777777" w:rsidR="00947D72" w:rsidRPr="00BD1DA7" w:rsidRDefault="00000000">
      <w:pPr>
        <w:pStyle w:val="Heading1"/>
        <w:spacing w:before="220" w:after="100"/>
        <w:rPr>
          <w:lang w:val="ro-RO"/>
        </w:rPr>
      </w:pPr>
      <w:r>
        <w:rPr>
          <w:rFonts w:ascii="Carlito" w:eastAsia="Carlito" w:hAnsi="Carlito"/>
          <w:color w:val="17324D"/>
          <w:sz w:val="34"/>
          <w:lang w:val="ro-RO"/>
        </w:rPr>
        <w:lastRenderedPageBreak/>
        <w:t>Surse și bibliografie selectivă</w:t>
      </w:r>
    </w:p>
    <w:p w14:paraId="7FE2EB1B" w14:textId="77777777" w:rsidR="00947D72" w:rsidRPr="00BD1DA7" w:rsidRDefault="00000000">
      <w:pPr>
        <w:spacing w:after="30" w:line="240" w:lineRule="auto"/>
        <w:rPr>
          <w:lang w:val="ro-RO"/>
        </w:rPr>
      </w:pPr>
      <w:r>
        <w:rPr>
          <w:sz w:val="18"/>
          <w:lang w:val="ro-RO"/>
        </w:rPr>
        <w:t>Marcajele [S#] din text trimit la lista de mai jos. Sursele online au fost verificate pentru această ediție la 11 august 2026. Lista privilegiază acte oficiale, organisme europene/internaționale, cercetare academică și instituții de cercetare; pentru istoria de lungă durată sunt incluse și lucrări de specialitate.</w:t>
      </w:r>
    </w:p>
    <w:p w14:paraId="3F6272E1"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S1  </w:t>
      </w:r>
      <w:r>
        <w:rPr>
          <w:rFonts w:eastAsia="Carlito"/>
          <w:color w:val="20262B"/>
          <w:sz w:val="18"/>
          <w:lang w:val="ro-RO"/>
        </w:rPr>
        <w:t>Constituția României, art. 30 - Libertatea de exprimare.</w:t>
      </w:r>
      <w:r>
        <w:rPr>
          <w:rFonts w:eastAsia="Carlito"/>
          <w:sz w:val="18"/>
          <w:lang w:val="ro-RO"/>
        </w:rPr>
        <w:t xml:space="preserve"> </w:t>
      </w:r>
      <w:hyperlink r:id="rId9">
        <w:r>
          <w:rPr>
            <w:color w:val="2A5D8F"/>
            <w:u w:val="single"/>
            <w:lang w:val="ro-RO"/>
          </w:rPr>
          <w:t>Sursă online</w:t>
        </w:r>
      </w:hyperlink>
    </w:p>
    <w:p w14:paraId="3EDDF62F"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S2  </w:t>
      </w:r>
      <w:r>
        <w:rPr>
          <w:rFonts w:eastAsia="Carlito"/>
          <w:color w:val="20262B"/>
          <w:sz w:val="18"/>
          <w:lang w:val="ro-RO"/>
        </w:rPr>
        <w:t>Legea audiovizualului nr. 504/2002, în special art. 6 privind interzicerea cenzurii și independența editorială.</w:t>
      </w:r>
      <w:r>
        <w:rPr>
          <w:rFonts w:eastAsia="Carlito"/>
          <w:sz w:val="18"/>
          <w:lang w:val="ro-RO"/>
        </w:rPr>
        <w:t xml:space="preserve"> </w:t>
      </w:r>
      <w:hyperlink r:id="rId10">
        <w:r>
          <w:rPr>
            <w:color w:val="2A5D8F"/>
            <w:u w:val="single"/>
            <w:lang w:val="ro-RO"/>
          </w:rPr>
          <w:t>Sursă online</w:t>
        </w:r>
      </w:hyperlink>
    </w:p>
    <w:p w14:paraId="643A37BF"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S3  </w:t>
      </w:r>
      <w:r>
        <w:rPr>
          <w:rFonts w:eastAsia="Carlito"/>
          <w:color w:val="20262B"/>
          <w:sz w:val="18"/>
          <w:lang w:val="ro-RO"/>
        </w:rPr>
        <w:t>Legea nr. 370/2004 pentru alegerea Președintelui României, art. 52 - anularea alegerilor.</w:t>
      </w:r>
      <w:r>
        <w:rPr>
          <w:rFonts w:eastAsia="Carlito"/>
          <w:sz w:val="18"/>
          <w:lang w:val="ro-RO"/>
        </w:rPr>
        <w:t xml:space="preserve"> </w:t>
      </w:r>
      <w:hyperlink r:id="rId11">
        <w:r>
          <w:rPr>
            <w:color w:val="2A5D8F"/>
            <w:u w:val="single"/>
            <w:lang w:val="ro-RO"/>
          </w:rPr>
          <w:t>Sursă online</w:t>
        </w:r>
      </w:hyperlink>
    </w:p>
    <w:p w14:paraId="28798FF3"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S4  </w:t>
      </w:r>
      <w:r>
        <w:rPr>
          <w:rFonts w:eastAsia="Carlito"/>
          <w:color w:val="20262B"/>
          <w:sz w:val="18"/>
          <w:lang w:val="ro-RO"/>
        </w:rPr>
        <w:t>Legea nr. 47/1992 privind organizarea și funcționarea Curții Constituționale, art. 37.</w:t>
      </w:r>
      <w:r>
        <w:rPr>
          <w:rFonts w:eastAsia="Carlito"/>
          <w:sz w:val="18"/>
          <w:lang w:val="ro-RO"/>
        </w:rPr>
        <w:t xml:space="preserve"> </w:t>
      </w:r>
      <w:hyperlink r:id="rId12">
        <w:r>
          <w:rPr>
            <w:color w:val="2A5D8F"/>
            <w:u w:val="single"/>
            <w:lang w:val="ro-RO"/>
          </w:rPr>
          <w:t>Sursă online</w:t>
        </w:r>
      </w:hyperlink>
    </w:p>
    <w:p w14:paraId="5A9436E4"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S5  </w:t>
      </w:r>
      <w:r>
        <w:rPr>
          <w:rFonts w:eastAsia="Carlito"/>
          <w:color w:val="20262B"/>
          <w:sz w:val="18"/>
          <w:lang w:val="ro-RO"/>
        </w:rPr>
        <w:t>Curtea Constituțională, Hotărârea nr. 31 din 2 decembrie 2024 privind rezultatul primului tur.</w:t>
      </w:r>
      <w:r>
        <w:rPr>
          <w:rFonts w:eastAsia="Carlito"/>
          <w:sz w:val="18"/>
          <w:lang w:val="ro-RO"/>
        </w:rPr>
        <w:t xml:space="preserve"> </w:t>
      </w:r>
      <w:hyperlink r:id="rId13">
        <w:r>
          <w:rPr>
            <w:color w:val="2A5D8F"/>
            <w:u w:val="single"/>
            <w:lang w:val="ro-RO"/>
          </w:rPr>
          <w:t>Sursă online</w:t>
        </w:r>
      </w:hyperlink>
    </w:p>
    <w:p w14:paraId="030AABF6"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S6  </w:t>
      </w:r>
      <w:r>
        <w:rPr>
          <w:rFonts w:eastAsia="Carlito"/>
          <w:color w:val="20262B"/>
          <w:sz w:val="18"/>
          <w:lang w:val="ro-RO"/>
        </w:rPr>
        <w:t>Curtea Constituțională, Hotărârea nr. 32 din 6 decembrie 2024 privind anularea procesului electoral prezidențial.</w:t>
      </w:r>
      <w:r>
        <w:rPr>
          <w:rFonts w:eastAsia="Carlito"/>
          <w:sz w:val="18"/>
          <w:lang w:val="ro-RO"/>
        </w:rPr>
        <w:t xml:space="preserve"> </w:t>
      </w:r>
      <w:hyperlink r:id="rId14">
        <w:r>
          <w:rPr>
            <w:color w:val="2A5D8F"/>
            <w:u w:val="single"/>
            <w:lang w:val="ro-RO"/>
          </w:rPr>
          <w:t>Sursă online</w:t>
        </w:r>
      </w:hyperlink>
    </w:p>
    <w:p w14:paraId="4B73BBC2"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S7  </w:t>
      </w:r>
      <w:r>
        <w:rPr>
          <w:rFonts w:eastAsia="Carlito"/>
          <w:color w:val="20262B"/>
          <w:sz w:val="18"/>
          <w:lang w:val="ro-RO"/>
        </w:rPr>
        <w:t>Venice Commission, CDL-AD(2025)003, Urgent Report on the cancellation of election results by Constitutional Courts, 18 martie 2025.</w:t>
      </w:r>
      <w:r>
        <w:rPr>
          <w:rFonts w:eastAsia="Carlito"/>
          <w:sz w:val="18"/>
          <w:lang w:val="ro-RO"/>
        </w:rPr>
        <w:t xml:space="preserve"> </w:t>
      </w:r>
      <w:hyperlink r:id="rId15">
        <w:r>
          <w:rPr>
            <w:color w:val="2A5D8F"/>
            <w:u w:val="single"/>
            <w:lang w:val="ro-RO"/>
          </w:rPr>
          <w:t>Sursă online</w:t>
        </w:r>
      </w:hyperlink>
    </w:p>
    <w:p w14:paraId="31F6CE95"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S8  </w:t>
      </w:r>
      <w:r>
        <w:rPr>
          <w:rFonts w:eastAsia="Carlito"/>
          <w:color w:val="20262B"/>
          <w:sz w:val="18"/>
          <w:lang w:val="ro-RO"/>
        </w:rPr>
        <w:t>Curtea Europeană a Drepturilor Omului, Călin Georgescu v. Romania - decizie de inadmisibilitate, 6 martie 2025.</w:t>
      </w:r>
      <w:r>
        <w:rPr>
          <w:rFonts w:eastAsia="Carlito"/>
          <w:sz w:val="18"/>
          <w:lang w:val="ro-RO"/>
        </w:rPr>
        <w:t xml:space="preserve"> </w:t>
      </w:r>
      <w:hyperlink r:id="rId16">
        <w:r>
          <w:rPr>
            <w:color w:val="2A5D8F"/>
            <w:u w:val="single"/>
            <w:lang w:val="ro-RO"/>
          </w:rPr>
          <w:t>Sursă online</w:t>
        </w:r>
      </w:hyperlink>
    </w:p>
    <w:p w14:paraId="645FF116"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S9  </w:t>
      </w:r>
      <w:r>
        <w:rPr>
          <w:rFonts w:eastAsia="Carlito"/>
          <w:color w:val="20262B"/>
          <w:sz w:val="18"/>
          <w:lang w:val="ro-RO"/>
        </w:rPr>
        <w:t>Comisia Europeană, „Commission opens formal proceedings against TikTok on election risks under the Digital Services Act”, 17 decembrie 2024.</w:t>
      </w:r>
      <w:r>
        <w:rPr>
          <w:rFonts w:eastAsia="Carlito"/>
          <w:sz w:val="18"/>
          <w:lang w:val="ro-RO"/>
        </w:rPr>
        <w:t xml:space="preserve"> </w:t>
      </w:r>
      <w:hyperlink r:id="rId17">
        <w:r>
          <w:rPr>
            <w:color w:val="2A5D8F"/>
            <w:u w:val="single"/>
            <w:lang w:val="ro-RO"/>
          </w:rPr>
          <w:t>Sursă online</w:t>
        </w:r>
      </w:hyperlink>
    </w:p>
    <w:p w14:paraId="4FB0B35B"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S10  </w:t>
      </w:r>
      <w:r>
        <w:rPr>
          <w:rFonts w:eastAsia="Carlito"/>
          <w:color w:val="20262B"/>
          <w:sz w:val="18"/>
          <w:lang w:val="ro-RO"/>
        </w:rPr>
        <w:t>Comisia Europeană, mecanismele de contestare a moderării în baza Digital Services Act - plângere internă și soluționare extrajudiciară.</w:t>
      </w:r>
      <w:r>
        <w:rPr>
          <w:rFonts w:eastAsia="Carlito"/>
          <w:sz w:val="18"/>
          <w:lang w:val="ro-RO"/>
        </w:rPr>
        <w:t xml:space="preserve"> </w:t>
      </w:r>
      <w:hyperlink r:id="rId18">
        <w:r>
          <w:rPr>
            <w:color w:val="2A5D8F"/>
            <w:u w:val="single"/>
            <w:lang w:val="ro-RO"/>
          </w:rPr>
          <w:t>Sursă online</w:t>
        </w:r>
      </w:hyperlink>
    </w:p>
    <w:p w14:paraId="48DD8625"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S11  </w:t>
      </w:r>
      <w:r>
        <w:rPr>
          <w:rFonts w:eastAsia="Carlito"/>
          <w:color w:val="20262B"/>
          <w:sz w:val="18"/>
          <w:lang w:val="ro-RO"/>
        </w:rPr>
        <w:t>OSCE/ODIHR, Romania, Repeat Presidential Election, 4 and 18 May 2025: Final Report, 28 octombrie 2025.</w:t>
      </w:r>
      <w:r>
        <w:rPr>
          <w:rFonts w:eastAsia="Carlito"/>
          <w:sz w:val="18"/>
          <w:lang w:val="ro-RO"/>
        </w:rPr>
        <w:t xml:space="preserve"> </w:t>
      </w:r>
      <w:hyperlink r:id="rId19">
        <w:r>
          <w:rPr>
            <w:color w:val="2A5D8F"/>
            <w:u w:val="single"/>
            <w:lang w:val="ro-RO"/>
          </w:rPr>
          <w:t>Sursă online</w:t>
        </w:r>
      </w:hyperlink>
    </w:p>
    <w:p w14:paraId="75701C58"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S12  </w:t>
      </w:r>
      <w:r>
        <w:rPr>
          <w:rFonts w:eastAsia="Carlito"/>
          <w:color w:val="20262B"/>
          <w:sz w:val="18"/>
          <w:lang w:val="ro-RO"/>
        </w:rPr>
        <w:t>IRES, „Românii în anul 2025” - percepții privind anularea alegerilor și transparența motivării.</w:t>
      </w:r>
      <w:r>
        <w:rPr>
          <w:rFonts w:eastAsia="Carlito"/>
          <w:sz w:val="18"/>
          <w:lang w:val="ro-RO"/>
        </w:rPr>
        <w:t xml:space="preserve"> </w:t>
      </w:r>
      <w:hyperlink r:id="rId20">
        <w:r>
          <w:rPr>
            <w:color w:val="2A5D8F"/>
            <w:u w:val="single"/>
            <w:lang w:val="ro-RO"/>
          </w:rPr>
          <w:t>Sursă online</w:t>
        </w:r>
      </w:hyperlink>
    </w:p>
    <w:p w14:paraId="68FC532D"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S13  </w:t>
      </w:r>
      <w:r>
        <w:rPr>
          <w:rFonts w:eastAsia="Carlito"/>
          <w:color w:val="20262B"/>
          <w:sz w:val="18"/>
          <w:lang w:val="ro-RO"/>
        </w:rPr>
        <w:t>IICCMER, Anuarul IICCMER, vol. 11 - studiu privind profilul cenzorilor din Direcția Generală pentru Presă și Tipărituri.</w:t>
      </w:r>
      <w:r>
        <w:rPr>
          <w:rFonts w:eastAsia="Carlito"/>
          <w:sz w:val="18"/>
          <w:lang w:val="ro-RO"/>
        </w:rPr>
        <w:t xml:space="preserve"> </w:t>
      </w:r>
      <w:hyperlink r:id="rId21">
        <w:r>
          <w:rPr>
            <w:color w:val="2A5D8F"/>
            <w:u w:val="single"/>
            <w:lang w:val="ro-RO"/>
          </w:rPr>
          <w:t>Sursă online</w:t>
        </w:r>
      </w:hyperlink>
    </w:p>
    <w:p w14:paraId="330FE540"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S14  </w:t>
      </w:r>
      <w:r>
        <w:rPr>
          <w:rFonts w:eastAsia="Carlito"/>
          <w:color w:val="20262B"/>
          <w:sz w:val="18"/>
          <w:lang w:val="ro-RO"/>
        </w:rPr>
        <w:t>IICCMER, arhivă de acte normative privind instituțiile comuniste, inclusiv Direcția Generală a Presei și Tipăriturilor.</w:t>
      </w:r>
      <w:r>
        <w:rPr>
          <w:rFonts w:eastAsia="Carlito"/>
          <w:sz w:val="18"/>
          <w:lang w:val="ro-RO"/>
        </w:rPr>
        <w:t xml:space="preserve"> </w:t>
      </w:r>
      <w:hyperlink r:id="rId22">
        <w:r>
          <w:rPr>
            <w:color w:val="2A5D8F"/>
            <w:u w:val="single"/>
            <w:lang w:val="ro-RO"/>
          </w:rPr>
          <w:t>Sursă online</w:t>
        </w:r>
      </w:hyperlink>
    </w:p>
    <w:p w14:paraId="03DAA46A"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S15  </w:t>
      </w:r>
      <w:r>
        <w:rPr>
          <w:rFonts w:eastAsia="Carlito"/>
          <w:color w:val="20262B"/>
          <w:sz w:val="18"/>
          <w:lang w:val="ro-RO"/>
        </w:rPr>
        <w:t>United States Holocaust Memorial Museum, Holocaust Encyclopedia - Romania.</w:t>
      </w:r>
      <w:r>
        <w:rPr>
          <w:rFonts w:eastAsia="Carlito"/>
          <w:sz w:val="18"/>
          <w:lang w:val="ro-RO"/>
        </w:rPr>
        <w:t xml:space="preserve"> </w:t>
      </w:r>
      <w:hyperlink r:id="rId23">
        <w:r>
          <w:rPr>
            <w:color w:val="2A5D8F"/>
            <w:u w:val="single"/>
            <w:lang w:val="ro-RO"/>
          </w:rPr>
          <w:t>Sursă online</w:t>
        </w:r>
      </w:hyperlink>
    </w:p>
    <w:p w14:paraId="75E23A04"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S16  </w:t>
      </w:r>
      <w:r>
        <w:rPr>
          <w:rFonts w:eastAsia="Carlito"/>
          <w:color w:val="20262B"/>
          <w:sz w:val="18"/>
          <w:lang w:val="ro-RO"/>
        </w:rPr>
        <w:t>Centre for Media Pluralism and Media Freedom, Media Pluralism Monitor 2026 - Romania.</w:t>
      </w:r>
      <w:r>
        <w:rPr>
          <w:rFonts w:eastAsia="Carlito"/>
          <w:sz w:val="18"/>
          <w:lang w:val="ro-RO"/>
        </w:rPr>
        <w:t xml:space="preserve"> </w:t>
      </w:r>
      <w:hyperlink r:id="rId24">
        <w:r>
          <w:rPr>
            <w:color w:val="2A5D8F"/>
            <w:u w:val="single"/>
            <w:lang w:val="ro-RO"/>
          </w:rPr>
          <w:t>Sursă online</w:t>
        </w:r>
      </w:hyperlink>
    </w:p>
    <w:p w14:paraId="02D89E8C"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S17  </w:t>
      </w:r>
      <w:r>
        <w:rPr>
          <w:rFonts w:eastAsia="Carlito"/>
          <w:color w:val="20262B"/>
          <w:sz w:val="18"/>
          <w:lang w:val="ro-RO"/>
        </w:rPr>
        <w:t>Comisia Europeană, 2026 Rule of Law Report - Communication and country chapters, inclusiv capitolul România, 17 iulie 2026.</w:t>
      </w:r>
      <w:r>
        <w:rPr>
          <w:rFonts w:eastAsia="Carlito"/>
          <w:sz w:val="18"/>
          <w:lang w:val="ro-RO"/>
        </w:rPr>
        <w:t xml:space="preserve"> </w:t>
      </w:r>
      <w:hyperlink r:id="rId25">
        <w:r>
          <w:rPr>
            <w:color w:val="2A5D8F"/>
            <w:u w:val="single"/>
            <w:lang w:val="ro-RO"/>
          </w:rPr>
          <w:t>Sursă online</w:t>
        </w:r>
      </w:hyperlink>
    </w:p>
    <w:p w14:paraId="4B471456"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S18  </w:t>
      </w:r>
      <w:r>
        <w:rPr>
          <w:rFonts w:eastAsia="Carlito"/>
          <w:color w:val="20262B"/>
          <w:sz w:val="18"/>
          <w:lang w:val="ro-RO"/>
        </w:rPr>
        <w:t>Regulamentul (UE) 2022/2065 - Digital Services Act.</w:t>
      </w:r>
      <w:r>
        <w:rPr>
          <w:rFonts w:eastAsia="Carlito"/>
          <w:sz w:val="18"/>
          <w:lang w:val="ro-RO"/>
        </w:rPr>
        <w:t xml:space="preserve"> </w:t>
      </w:r>
      <w:hyperlink r:id="rId26">
        <w:r>
          <w:rPr>
            <w:color w:val="2A5D8F"/>
            <w:u w:val="single"/>
            <w:lang w:val="ro-RO"/>
          </w:rPr>
          <w:t>Sursă online</w:t>
        </w:r>
      </w:hyperlink>
    </w:p>
    <w:p w14:paraId="00E3F8EC"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S19  </w:t>
      </w:r>
      <w:r>
        <w:rPr>
          <w:rFonts w:eastAsia="Carlito"/>
          <w:color w:val="20262B"/>
          <w:sz w:val="18"/>
          <w:lang w:val="ro-RO"/>
        </w:rPr>
        <w:t>Lucian Boia, Istorie și mit în conștiința românească, Humanitas, București, 1997 (și edițiile ulterioare).</w:t>
      </w:r>
    </w:p>
    <w:p w14:paraId="44D11966"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S20  </w:t>
      </w:r>
      <w:r>
        <w:rPr>
          <w:rFonts w:eastAsia="Carlito"/>
          <w:color w:val="20262B"/>
          <w:sz w:val="18"/>
          <w:lang w:val="ro-RO"/>
        </w:rPr>
        <w:t>Curtea Constituțională, Hotărârea nr. 44 din 22 mai 2025 privind validarea alegerii Președintelui României.</w:t>
      </w:r>
      <w:r>
        <w:rPr>
          <w:rFonts w:eastAsia="Carlito"/>
          <w:sz w:val="18"/>
          <w:lang w:val="ro-RO"/>
        </w:rPr>
        <w:t xml:space="preserve"> </w:t>
      </w:r>
      <w:hyperlink r:id="rId27">
        <w:r>
          <w:rPr>
            <w:color w:val="2A5D8F"/>
            <w:u w:val="single"/>
            <w:lang w:val="ro-RO"/>
          </w:rPr>
          <w:t>Sursă online</w:t>
        </w:r>
      </w:hyperlink>
    </w:p>
    <w:p w14:paraId="24C84994"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S21  </w:t>
      </w:r>
      <w:r>
        <w:rPr>
          <w:rFonts w:eastAsia="Carlito"/>
          <w:color w:val="20262B"/>
          <w:sz w:val="18"/>
          <w:lang w:val="ro-RO"/>
        </w:rPr>
        <w:t>Liliana Corobca, Controlul cărții. Cenzura literaturii în regimul comunist din România, Cartea Românească, București, 2014.</w:t>
      </w:r>
    </w:p>
    <w:p w14:paraId="32BB8ACF"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S22  </w:t>
      </w:r>
      <w:r>
        <w:rPr>
          <w:rFonts w:eastAsia="Carlito"/>
          <w:color w:val="20262B"/>
          <w:sz w:val="18"/>
          <w:lang w:val="ro-RO"/>
        </w:rPr>
        <w:t>Dennis Deletant, Ceaușescu and the Securitate: Coercion and Dissent in Romania, 1965-1989, M.E. Sharpe, 1995.</w:t>
      </w:r>
    </w:p>
    <w:p w14:paraId="5FC8EB15" w14:textId="77777777" w:rsidR="00947D72" w:rsidRPr="00BD1DA7" w:rsidRDefault="00000000">
      <w:pPr>
        <w:spacing w:after="30" w:line="240" w:lineRule="auto"/>
        <w:ind w:left="115" w:hanging="115"/>
        <w:rPr>
          <w:lang w:val="ro-RO"/>
        </w:rPr>
      </w:pPr>
      <w:r>
        <w:rPr>
          <w:rFonts w:eastAsia="Carlito"/>
          <w:b/>
          <w:color w:val="2C6975"/>
          <w:sz w:val="18"/>
          <w:lang w:val="ro-RO"/>
        </w:rPr>
        <w:t xml:space="preserve">S23  </w:t>
      </w:r>
      <w:r>
        <w:rPr>
          <w:rFonts w:eastAsia="Carlito"/>
          <w:color w:val="20262B"/>
          <w:sz w:val="18"/>
          <w:lang w:val="ro-RO"/>
        </w:rPr>
        <w:t>Marian Petcu (coord.), Istoria jurnalismului din România în date. Enciclopedie cronologică, Polirom, Iași, 2012.</w:t>
      </w:r>
    </w:p>
    <w:p w14:paraId="39EF7433" w14:textId="77777777" w:rsidR="00947D72" w:rsidRPr="00BD1DA7" w:rsidRDefault="00000000">
      <w:pPr>
        <w:spacing w:after="30" w:line="240" w:lineRule="auto"/>
        <w:rPr>
          <w:lang w:val="ro-RO"/>
        </w:rPr>
      </w:pPr>
      <w:r>
        <w:rPr>
          <w:sz w:val="18"/>
          <w:lang w:val="ro-RO"/>
        </w:rPr>
        <w:t xml:space="preserve">S24  Pippa Norris, „Cancel Culture: Myth or Reality?”, Political Studies, vol. 71, nr. 1, 2023, pp. 145-174. </w:t>
      </w:r>
      <w:hyperlink r:id="rId28">
        <w:r>
          <w:rPr>
            <w:color w:val="0563C1"/>
            <w:u w:val="single"/>
            <w:lang w:val="ro-RO"/>
          </w:rPr>
          <w:t>Sursă online</w:t>
        </w:r>
      </w:hyperlink>
    </w:p>
    <w:p w14:paraId="32498DC3" w14:textId="77777777" w:rsidR="00947D72" w:rsidRPr="00BD1DA7" w:rsidRDefault="00000000">
      <w:pPr>
        <w:spacing w:after="30" w:line="240" w:lineRule="auto"/>
        <w:rPr>
          <w:lang w:val="ro-RO"/>
        </w:rPr>
      </w:pPr>
      <w:r>
        <w:rPr>
          <w:sz w:val="18"/>
          <w:lang w:val="ro-RO"/>
        </w:rPr>
        <w:t xml:space="preserve">S25  Manoel Horta Ribeiro, Shagun Jhaver, Jordi Cluet i Martinell, Marie Reignier-Tayar, Robert West, „Deplatforming Norm-Violating Influencers on Social Media Reduces Overall Online Attention Toward Them”, studiu longitudinal, 2024. </w:t>
      </w:r>
      <w:hyperlink r:id="rId29">
        <w:r>
          <w:rPr>
            <w:color w:val="0563C1"/>
            <w:u w:val="single"/>
            <w:lang w:val="ro-RO"/>
          </w:rPr>
          <w:t>Sursă online</w:t>
        </w:r>
      </w:hyperlink>
    </w:p>
    <w:p w14:paraId="4AD04562" w14:textId="77777777" w:rsidR="00947D72" w:rsidRPr="00BD1DA7" w:rsidRDefault="00000000">
      <w:pPr>
        <w:spacing w:after="30" w:line="240" w:lineRule="auto"/>
        <w:rPr>
          <w:lang w:val="ro-RO"/>
        </w:rPr>
      </w:pPr>
      <w:r>
        <w:rPr>
          <w:sz w:val="18"/>
          <w:lang w:val="ro-RO"/>
        </w:rPr>
        <w:t xml:space="preserve">S26  UNESCO, resurse privind libertatea artistică și protecția vocilor critice, inclusiv efectele hărțuirii digitale și ale presiunilor asupra autocenzurii. </w:t>
      </w:r>
      <w:hyperlink r:id="rId30">
        <w:r>
          <w:rPr>
            <w:color w:val="0563C1"/>
            <w:u w:val="single"/>
            <w:lang w:val="ro-RO"/>
          </w:rPr>
          <w:t>Sursă online</w:t>
        </w:r>
      </w:hyperlink>
    </w:p>
    <w:p>
      <w:pPr>
        <w:spacing w:after="30" w:line="240" w:lineRule="auto"/>
        <w:rPr>
          <w:lang w:val="ro-RO"/>
        </w:rPr>
      </w:pPr>
      <w:r>
        <w:rPr>
          <w:sz w:val="18"/>
          <w:lang w:val="ro-RO"/>
        </w:rPr>
        <w:t xml:space="preserve">S27  Directiva (UE) 2024/1069 privind protecția persoanelor implicate în participarea publică împotriva cererilor vădit nefondate sau a procedurilor judiciare abuzive („directiva anti-SLAPP”), 11 aprilie 2024. </w:t>
      </w:r>
      <w:hyperlink r:id="rId101">
        <w:r>
          <w:rPr>
            <w:color w:val="0563C1"/>
            <w:u w:val="single"/>
            <w:lang w:val="ro-RO"/>
          </w:rPr>
          <w:t>Sursă online</w:t>
        </w:r>
      </w:hyperlink>
    </w:p>
    <w:p>
      <w:pPr>
        <w:spacing w:after="30" w:line="240" w:lineRule="auto"/>
        <w:rPr>
          <w:lang w:val="ro-RO"/>
        </w:rPr>
      </w:pPr>
      <w:r>
        <w:rPr>
          <w:sz w:val="18"/>
          <w:lang w:val="ro-RO"/>
        </w:rPr>
        <w:t xml:space="preserve">S28  William J. Brady, Julian A. Wills, John T. Jost, Joshua A. Tucker, Jay J. Van Bavel, „Emotion shapes the diffusion of moralized content in social networks”, PNAS, vol. 114, nr. 28, 2017, pp. 7313-7318. </w:t>
      </w:r>
      <w:hyperlink r:id="rId102">
        <w:r>
          <w:rPr>
            <w:color w:val="0563C1"/>
            <w:u w:val="single"/>
            <w:lang w:val="ro-RO"/>
          </w:rPr>
          <w:t>Sursă online</w:t>
        </w:r>
      </w:hyperlink>
    </w:p>
    <w:p>
      <w:pPr>
        <w:spacing w:after="30" w:line="240" w:lineRule="auto"/>
        <w:rPr>
          <w:lang w:val="ro-RO"/>
        </w:rPr>
      </w:pPr>
      <w:r>
        <w:rPr>
          <w:sz w:val="18"/>
          <w:lang w:val="ro-RO"/>
        </w:rPr>
        <w:t xml:space="preserve">S29  „TVR 55. Lumini și umbre (I)”, Observator Cultural, 2012 — istoria emisiunii Reflector și a criticii de televiziune în anii 1960–1970. </w:t>
      </w:r>
      <w:hyperlink r:id="rId103">
        <w:r>
          <w:rPr>
            <w:color w:val="0563C1"/>
            <w:u w:val="single"/>
            <w:lang w:val="ro-RO"/>
          </w:rPr>
          <w:t>Sursă online</w:t>
        </w:r>
      </w:hyperlink>
    </w:p>
    <w:p>
      <w:pPr>
        <w:spacing w:after="30" w:line="240" w:lineRule="auto"/>
        <w:rPr>
          <w:lang w:val="ro-RO"/>
        </w:rPr>
      </w:pPr>
      <w:r>
        <w:rPr>
          <w:sz w:val="18"/>
          <w:lang w:val="ro-RO"/>
        </w:rPr>
        <w:t xml:space="preserve">S30  „Emisiunea «Reflector»”, Radio România Internațional — Pro Memoria, 2025 — geneza emisiunii și mărturia lui Ion Bucheru. </w:t>
      </w:r>
      <w:hyperlink r:id="rId104">
        <w:r>
          <w:rPr>
            <w:color w:val="0563C1"/>
            <w:u w:val="single"/>
            <w:lang w:val="ro-RO"/>
          </w:rPr>
          <w:t>Sursă online</w:t>
        </w:r>
      </w:hyperlink>
    </w:p>
    <w:p>
      <w:pPr>
        <w:spacing w:after="30" w:line="240" w:lineRule="auto"/>
        <w:rPr>
          <w:lang w:val="ro-RO"/>
        </w:rPr>
      </w:pPr>
      <w:r>
        <w:rPr>
          <w:sz w:val="18"/>
          <w:lang w:val="ro-RO"/>
        </w:rPr>
        <w:t xml:space="preserve">S31  „TVR — de la primul pînă la ultimul succ(congr)es”, Dilema Veche, 2022 — încetarea emisiunii Reflector (1976) și avatarul ei atenuat până în 1983. </w:t>
      </w:r>
      <w:hyperlink r:id="rId105">
        <w:r>
          <w:rPr>
            <w:color w:val="0563C1"/>
            <w:u w:val="single"/>
            <w:lang w:val="ro-RO"/>
          </w:rPr>
          <w:t>Sursă online</w:t>
        </w:r>
      </w:hyperlink>
    </w:p>
    <w:p w14:paraId="3302AEBF" w14:textId="77777777" w:rsidR="00947D72" w:rsidRPr="00BD1DA7" w:rsidRDefault="00000000">
      <w:pPr>
        <w:pStyle w:val="Heading2"/>
        <w:spacing w:before="160" w:after="30" w:line="240" w:lineRule="auto"/>
        <w:rPr>
          <w:lang w:val="ro-RO"/>
        </w:rPr>
      </w:pPr>
      <w:r>
        <w:rPr>
          <w:rFonts w:ascii="Carlito" w:eastAsia="Carlito" w:hAnsi="Carlito"/>
          <w:color w:val="2C6975"/>
          <w:sz w:val="22"/>
          <w:lang w:val="ro-RO"/>
        </w:rPr>
        <w:t>Observație privind sursele</w:t>
      </w:r>
    </w:p>
    <w:p w14:paraId="08F6AFAE" w14:textId="77777777" w:rsidR="00947D72" w:rsidRPr="00BD1DA7" w:rsidRDefault="00000000">
      <w:pPr>
        <w:spacing w:after="30" w:line="240" w:lineRule="auto"/>
        <w:rPr>
          <w:lang w:val="ro-RO"/>
        </w:rPr>
      </w:pPr>
      <w:r>
        <w:rPr>
          <w:rFonts w:eastAsia="Carlito"/>
          <w:color w:val="20262B"/>
          <w:sz w:val="18"/>
          <w:lang w:val="ro-RO"/>
        </w:rPr>
        <w:t>Pentru evenimentele din 2024-2026, formulările din această ediție urmăresc sursele primare ori instituționale disponibile public la data redactării. Acolo unde o sursă descrie o suspiciune, o procedură în curs, o evaluare de intelligence sau o percepție de sondaj, textul păstrează această calificare. Absența unei hotărâri definitive nu este tratată ca dovadă de nevinovăție sau vinovăție; este tratată ca limită a certitudinii.</w:t>
      </w:r>
    </w:p>
    <w:sectPr w:rsidR="00947D72" w:rsidRPr="00BD1DA7" w:rsidSect="00034616">
      <w:headerReference w:type="default" r:id="rId31"/>
      <w:footerReference w:type="default" r:id="rId32"/>
      <w:pgSz w:w="12240" w:h="15840"/>
      <w:pgMar w:top="1037" w:right="1181" w:bottom="979"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8757D" w14:textId="77777777" w:rsidR="00D822A3" w:rsidRDefault="00D822A3">
      <w:pPr>
        <w:spacing w:after="0" w:line="240" w:lineRule="auto"/>
        <w:rPr>
          <w:rFonts w:hint="eastAsia"/>
        </w:rPr>
      </w:pPr>
      <w:r>
        <w:separator/>
      </w:r>
    </w:p>
  </w:endnote>
  <w:endnote w:type="continuationSeparator" w:id="0">
    <w:p w14:paraId="464CAD55" w14:textId="77777777" w:rsidR="00D822A3" w:rsidRDefault="00D822A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83E33" w14:textId="77777777" w:rsidR="00947D72" w:rsidRDefault="00000000">
    <w:pPr>
      <w:pStyle w:val="Footer"/>
      <w:jc w:val="center"/>
      <w:rPr>
        <w:rFonts w:hint="eastAsia"/>
      </w:rPr>
    </w:pPr>
    <w:r>
      <w:rPr>
        <w:rFonts w:eastAsia="Carlito"/>
        <w:color w:val="6C7A86"/>
        <w:sz w:val="18"/>
      </w:rPr>
      <w:t xml:space="preserve">Pagina </w:t>
    </w:r>
    <w:r>
      <w:rPr>
        <w:rFonts w:eastAsia="Carlito"/>
        <w:color w:val="6C7A86"/>
        <w:sz w:val="18"/>
      </w:rPr>
      <w:fldChar w:fldCharType="begin"/>
    </w:r>
    <w:r>
      <w:rPr>
        <w:rFonts w:eastAsia="Carlito"/>
        <w:color w:val="6C7A86"/>
        <w:sz w:val="18"/>
      </w:rPr>
      <w:instrText xml:space="preserve"> PAGE </w:instrText>
    </w:r>
    <w:r w:rsidR="0085328D">
      <w:rPr>
        <w:rFonts w:eastAsia="Carlito"/>
        <w:color w:val="6C7A86"/>
        <w:sz w:val="18"/>
      </w:rPr>
      <w:fldChar w:fldCharType="separate"/>
    </w:r>
    <w:r w:rsidR="0085328D">
      <w:rPr>
        <w:rFonts w:eastAsia="Carlito"/>
        <w:noProof/>
        <w:color w:val="6C7A86"/>
        <w:sz w:val="18"/>
      </w:rPr>
      <w:t>1</w:t>
    </w:r>
    <w:r>
      <w:rPr>
        <w:rFonts w:eastAsia="Carlito"/>
        <w:color w:val="6C7A86"/>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69CE8" w14:textId="77777777" w:rsidR="00D822A3" w:rsidRDefault="00D822A3">
      <w:pPr>
        <w:spacing w:after="0" w:line="240" w:lineRule="auto"/>
        <w:rPr>
          <w:rFonts w:hint="eastAsia"/>
        </w:rPr>
      </w:pPr>
      <w:r>
        <w:separator/>
      </w:r>
    </w:p>
  </w:footnote>
  <w:footnote w:type="continuationSeparator" w:id="0">
    <w:p w14:paraId="31A336A0" w14:textId="77777777" w:rsidR="00D822A3" w:rsidRDefault="00D822A3">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C7600" w14:textId="77777777" w:rsidR="00947D72" w:rsidRPr="0085328D" w:rsidRDefault="00000000">
    <w:pPr>
      <w:pStyle w:val="Header"/>
      <w:jc w:val="right"/>
      <w:rPr>
        <w:rFonts w:hint="eastAsia"/>
        <w:lang w:val="it-IT"/>
      </w:rPr>
    </w:pPr>
    <w:r w:rsidRPr="0085328D">
      <w:rPr>
        <w:rFonts w:eastAsia="Carlito"/>
        <w:b/>
        <w:color w:val="6C7A86"/>
        <w:sz w:val="16"/>
        <w:lang w:val="it-IT"/>
      </w:rPr>
      <w:t>EVOLUȚIA CENZURII ȘI A CONTROLULUI INFORMAȚIONAL ÎN ROMÂNIA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1136662">
    <w:abstractNumId w:val="8"/>
  </w:num>
  <w:num w:numId="2" w16cid:durableId="1217205597">
    <w:abstractNumId w:val="6"/>
  </w:num>
  <w:num w:numId="3" w16cid:durableId="826747256">
    <w:abstractNumId w:val="5"/>
  </w:num>
  <w:num w:numId="4" w16cid:durableId="1661107626">
    <w:abstractNumId w:val="4"/>
  </w:num>
  <w:num w:numId="5" w16cid:durableId="355351754">
    <w:abstractNumId w:val="7"/>
  </w:num>
  <w:num w:numId="6" w16cid:durableId="1243680006">
    <w:abstractNumId w:val="3"/>
  </w:num>
  <w:num w:numId="7" w16cid:durableId="177933465">
    <w:abstractNumId w:val="2"/>
  </w:num>
  <w:num w:numId="8" w16cid:durableId="1144617241">
    <w:abstractNumId w:val="1"/>
  </w:num>
  <w:num w:numId="9" w16cid:durableId="1526595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2331"/>
    <w:rsid w:val="0029639D"/>
    <w:rsid w:val="00326F90"/>
    <w:rsid w:val="0085328D"/>
    <w:rsid w:val="00947D72"/>
    <w:rsid w:val="00A2553A"/>
    <w:rsid w:val="00AA1D8D"/>
    <w:rsid w:val="00B47730"/>
    <w:rsid w:val="00BD1DA7"/>
    <w:rsid w:val="00C17384"/>
    <w:rsid w:val="00CB0664"/>
    <w:rsid w:val="00D822A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390097"/>
  <w14:defaultImageDpi w14:val="300"/>
  <w15:docId w15:val="{7FCD3BA8-E65B-48F3-A988-FB52D24E2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Carlito" w:hAnsi="Carlito"/>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21"/>
    </w:rPr>
  </w:style>
  <w:style w:type="paragraph" w:styleId="ListBullet2">
    <w:name w:val="List Bullet 2"/>
    <w:basedOn w:val="Normal"/>
    <w:uiPriority w:val="99"/>
    <w:unhideWhenUsed/>
    <w:rsid w:val="00326F90"/>
    <w:pPr>
      <w:numPr>
        <w:numId w:val="2"/>
      </w:numPr>
      <w:contextualSpacing/>
    </w:pPr>
    <w:rPr>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islatie.just.ro/Public/DetaliiDocumentAfis/291969" TargetMode="External"/><Relationship Id="rId18" Type="http://schemas.openxmlformats.org/officeDocument/2006/relationships/hyperlink" Target="https://digital-strategy.ec.europa.eu/en/policies/dsa-out-court-dispute-settlement" TargetMode="External"/><Relationship Id="rId26" Type="http://schemas.openxmlformats.org/officeDocument/2006/relationships/hyperlink" Target="https://eur-lex.europa.eu/eli/reg/2022/2065/oj" TargetMode="External"/><Relationship Id="rId3" Type="http://schemas.openxmlformats.org/officeDocument/2006/relationships/styles" Target="styles.xml"/><Relationship Id="rId21" Type="http://schemas.openxmlformats.org/officeDocument/2006/relationships/hyperlink" Target="https://anuar.iiccmer.ro/arhiva/volumul-1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egislatie.just.ro/Public/DetaliiDocument/198614" TargetMode="External"/><Relationship Id="rId17" Type="http://schemas.openxmlformats.org/officeDocument/2006/relationships/hyperlink" Target="https://digital-strategy.ec.europa.eu/en/news/commission-opens-formal-proceedings-against-tiktok-election-risks-under-digital-services-act" TargetMode="External"/><Relationship Id="rId25" Type="http://schemas.openxmlformats.org/officeDocument/2006/relationships/hyperlink" Target="https://commission.europa.eu/publications/2026-rule-law-report-communication-and-country-chapters_en"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chr.coe.int/w/inadmissiblity-decision-concerning-romania-1" TargetMode="External"/><Relationship Id="rId20" Type="http://schemas.openxmlformats.org/officeDocument/2006/relationships/hyperlink" Target="https://ires.ro/articol/471/romanii-in-anul-2025" TargetMode="External"/><Relationship Id="rId29" Type="http://schemas.openxmlformats.org/officeDocument/2006/relationships/hyperlink" Target="https://arxiv.org/abs/2401.0125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16285" TargetMode="External"/><Relationship Id="rId24" Type="http://schemas.openxmlformats.org/officeDocument/2006/relationships/hyperlink" Target="https://cmpf.eui.eu/country/romania-2026/"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oe.int/en/web/venice-commission/-/cdl-ad-2025-003-e" TargetMode="External"/><Relationship Id="rId23" Type="http://schemas.openxmlformats.org/officeDocument/2006/relationships/hyperlink" Target="https://encyclopedia.ushmm.org/content/en/article/romania" TargetMode="External"/><Relationship Id="rId28" Type="http://schemas.openxmlformats.org/officeDocument/2006/relationships/hyperlink" Target="https://www.hks.harvard.edu/publications/cancel-culture-myth-or-reality-0" TargetMode="External"/><Relationship Id="rId10" Type="http://schemas.openxmlformats.org/officeDocument/2006/relationships/hyperlink" Target="https://legislatie.just.ro/Public/DetaliiDocument/295495" TargetMode="External"/><Relationship Id="rId19" Type="http://schemas.openxmlformats.org/officeDocument/2006/relationships/hyperlink" Target="https://odihr.osce.org/odihr/elections/romania/600295"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gislatie.just.ro/Public/DetaliiDocumentAfis/1413" TargetMode="External"/><Relationship Id="rId14" Type="http://schemas.openxmlformats.org/officeDocument/2006/relationships/hyperlink" Target="https://legislatie.just.ro/Public/DetaliiDocumentAfis/292099" TargetMode="External"/><Relationship Id="rId22" Type="http://schemas.openxmlformats.org/officeDocument/2006/relationships/hyperlink" Target="https://www.iiccmer.ro/resurse/arhiva/acte-normative/" TargetMode="External"/><Relationship Id="rId27" Type="http://schemas.openxmlformats.org/officeDocument/2006/relationships/hyperlink" Target="https://legislatie.just.ro/Public/DetaliiDocument/298230" TargetMode="External"/><Relationship Id="rId30" Type="http://schemas.openxmlformats.org/officeDocument/2006/relationships/hyperlink" Target="https://www.unesco.org/en/query-list/a/artistic-freedom" TargetMode="External"/><Relationship Id="rId101" Type="http://schemas.openxmlformats.org/officeDocument/2006/relationships/hyperlink" Target="https://eur-lex.europa.eu/eli/dir/2024/1069/oj" TargetMode="External"/><Relationship Id="rId102" Type="http://schemas.openxmlformats.org/officeDocument/2006/relationships/hyperlink" Target="https://www.pnas.org/doi/10.1073/pnas.1618923114" TargetMode="External"/><Relationship Id="rId103" Type="http://schemas.openxmlformats.org/officeDocument/2006/relationships/hyperlink" Target="https://www.observatorcultural.ro/articol/tvr-55-lumini-si-umbre-i/" TargetMode="External"/><Relationship Id="rId104" Type="http://schemas.openxmlformats.org/officeDocument/2006/relationships/hyperlink" Target="https://www.rri.ro/panoramice/pro-memoria/emisiunea-reflector-id867363.html" TargetMode="External"/><Relationship Id="rId105" Type="http://schemas.openxmlformats.org/officeDocument/2006/relationships/hyperlink" Target="https://dilemaveche.ro/sectiune/tema-saptamanii/tvr-de-la-primul-pina-la-ultimul-succcongres-6031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8934</Words>
  <Characters>50924</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Evoluția cenzurii și a controlului informațional în România - Ediție revizuită și extinsă, versiunea II</dc:title>
  <dc:subject>Cenzură, control informațional, memorie culturală, Cancel Culture, guvernanță algoritmică și democrație</dc:subject>
  <dc:creator>OpenAI - document revizuit la solicitarea utilizatorului</dc:creator>
  <cp:keywords>cenzură, România, libertate de exprimare, poezie, memorie culturală, monumente, cancel culture, deplatformare, DSA, alegeri 2024</cp:keywords>
  <dc:description>generated by python-docx</dc:description>
  <cp:lastModifiedBy>Nelu Bădălan</cp:lastModifiedBy>
  <cp:revision>5</cp:revision>
  <dcterms:created xsi:type="dcterms:W3CDTF">2026-08-11T05:49:00Z</dcterms:created>
  <dcterms:modified xsi:type="dcterms:W3CDTF">2026-08-11T05:49:00Z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c2ee50a7-6f72-41c0-9233-01d00623166f</vt:lpwstr>
  </property>
</Properties>
</file>