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MdHeading1"/>
      </w:pPr>
      <w:r>
        <w:t xml:space="preserve">Analiză Comparativă: Bulgaria vs. Portugalia pentru Nomazi Digitali și Antreprenori</w:t>
      </w:r>
    </w:p>
    <w:p>
      <w:pPr>
        <w:pStyle w:val="MdParagraph"/>
      </w:pPr>
      <w:r>
        <w:t xml:space="preserve">Această analiză compară Bulgaria și Portugalia ca destinații pentru nomazi digitali și antreprenori, evidențiind avantajele Bulgariei, bazate pe informațiile din imaginile furnizate și cercetări suplimentare.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1. Sistemul Fiscal</w:t>
      </w:r>
    </w:p>
    <w:p>
      <w:pPr>
        <w:pStyle w:val="MdParagraph"/>
      </w:pPr>
      <w:r>
        <w:t xml:space="preserve">Bulgaria oferă un sistem fiscal simplu și avantajos, în special prin </w:t>
      </w:r>
      <w:r>
        <w:rPr>
          <w:rStyle w:val="MdStrong"/>
          <w:b/>
          <w:bCs/>
        </w:rPr>
        <w:t xml:space="preserve">cota unică de impozitare de 10%</w:t>
      </w:r>
      <w:r>
        <w:t xml:space="preserve"> pe venitul personal [2] [3] [4] [5]. Această cotă se aplică tuturor tipurilor de venituri, fără cerințe de calificare, restricții sectoriale sau limite de timp [2]. Pentru freelanceri, rata efectivă poate fi chiar mai mică, de aproximativ 7,5%, datorită unei deduceri statutare de 25% pentru cheltuieli [2]. Proprietarii de companii beneficiază de o rată combinată de 15% (10% impozit pe profit + 5% impozit pe dividende), ceea ce reprezintă cea mai mică rată combinată din UE [2]. De asemenea, Bulgaria nu percepe impozit pe avere și oferă 0% impozit pe câștigurile de capital din acțiunile tranzacționate pe o piață reglementată din UE/SEE [2].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În contrast, Portugalia a eliminat regimul NHR (Non-Habitual Resident) la 31 martie 2025, înlocuindu-l cu IFICI (Incentivo Fiscal a Investigacao Cientifica e Inovacao), un regim mai restrictiv [2]. IFICI oferă o cotă unică de 20% pe veniturile din muncă și activități independente timp de 10 ani, dar necesită calificări academice specifice (minim licență + 3 ani experiență relevantă sau doctorat) și se adresează unor sectoare specifice (știință, tehnologie, sănătate, energie verde) [2]. Pentru cei care nu se califică pentru IFICI, Portugalia aplică rate progresive de impozitare, care pot ajunge până la aproximativ 53% [2].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2. Înființarea Afacerilor</w:t>
      </w:r>
    </w:p>
    <w:p>
      <w:pPr>
        <w:pStyle w:val="MdParagraph"/>
      </w:pPr>
      <w:r>
        <w:t xml:space="preserve">Bulgaria se remarcă prin procesul </w:t>
      </w:r>
      <w:r>
        <w:rPr>
          <w:rStyle w:val="MdStrong"/>
          <w:b/>
          <w:bCs/>
        </w:rPr>
        <w:t xml:space="preserve">rapid și eficient de înregistrare a companiilor și a activităților de freelancer</w:t>
      </w:r>
      <w:r>
        <w:t xml:space="preserve">, care poate dura între 1 și 3 zile [1] [14]. Acest lucru simplifică semnificativ demararea unei afaceri pentru antreprenori și nomazi digitali.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Portugalia, pe de altă parte, este asociată cu o birocrație mai mare și un proces care necesită mai mult timp și documente [1].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3. Costul Vieții și Accesibilitatea</w:t>
      </w:r>
    </w:p>
    <w:p>
      <w:pPr>
        <w:pStyle w:val="MdParagraph"/>
      </w:pPr>
      <w:r>
        <w:t xml:space="preserve">Bulgaria oferă un </w:t>
      </w:r>
      <w:r>
        <w:rPr>
          <w:rStyle w:val="MdStrong"/>
          <w:b/>
          <w:bCs/>
        </w:rPr>
        <w:t xml:space="preserve">cost al vieții semnificativ mai scăzut</w:t>
      </w:r>
      <w:r>
        <w:t xml:space="preserve"> comparativ cu Portugalia [1] [7] [8] [9] [10]. Costul mediu al vieții în Bulgaria este cu aproximativ 31% mai mic decât în Portugalia [8], iar costurile de închiriere sunt, de asemenea, considerabil mai mici [7] [10]. Acest lucru se traduce printr-un raport calitate-preț mai bun și o putere de cumpărare mai mare pentru rezidenți [1].</w:t>
      </w:r>
    </w:p>
    <w:p>
      <w:pPr>
        <w:pStyle w:val="MdSpace"/>
        <w:spacing w:before="0" w:after="60"/>
      </w:pPr>
    </w:p>
    <w:tbl>
      <w:tblPr>
        <w:tblStyle w:val="MdTable"/>
        <w:tblW w:type="pct" w:w="100%"/>
        <w:tblBorders>
          <w:top w:val="single" w:color="E1E4E8" w:sz="4"/>
          <w:left w:val="none"/>
          <w:bottom w:val="single" w:color="E1E4E8" w:sz="4"/>
          <w:right w:val="none"/>
          <w:insideH w:val="single" w:color="E1E4E8" w:sz="2"/>
          <w:insideV w:val="single" w:color="F6F8FA" w:sz="2"/>
        </w:tblBorders>
      </w:tblPr>
      <w:tblGrid>
        <w:gridCol w:w="100"/>
        <w:gridCol w:w="100"/>
        <w:gridCol w:w="100"/>
      </w:tblGrid>
      <w:tr>
        <w:trPr>
          <w:cantSplit/>
          <w:tblHeader/>
          <w:trHeight w:val="720" w:hRule="atLeast"/>
        </w:trPr>
        <w:tc>
          <w:tcPr>
            <w:tcBorders>
              <w:left w:val="none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pStyle w:val="MdTableHeader"/>
            </w:pPr>
            <w:r>
              <w:t xml:space="preserve">Categorie</w:t>
            </w:r>
          </w:p>
        </w:tc>
        <w:tc>
          <w:tcPr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pStyle w:val="MdTableHeader"/>
            </w:pPr>
            <w:r>
              <w:t xml:space="preserve">Portugalia (2026)</w:t>
            </w:r>
          </w:p>
        </w:tc>
        <w:tc>
          <w:tcPr>
            <w:tcBorders>
              <w:right w:val="none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pStyle w:val="MdTableHeader"/>
            </w:pPr>
            <w:r>
              <w:t xml:space="preserve">Bulgaria (2026)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Impozit pe venitul personal (standard)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Progresiv, 15% - 48%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10% cotă unică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Rata marginală maximă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~53% (48% + 5% suprataxă de solidaritate)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10%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Rata regimului special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20% (IFICI, 10 ani)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10% (permanent)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Calificare necesară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Nivel 6+ EQF (licență + 3 ani) sau PhD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Niciuna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Restricții sectoriale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Știință, tehnologie, sănătate, energie verde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Niciuna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Durata beneficiului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10 ani (IFICI)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Permanent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Rata efectivă freelancer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~20% (IFICI) sau progresivă fără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7,5%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Impozit pe profit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~22,5% (21% + 1,5% municipal)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10%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Impozit pe dividende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28% cotă unică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5%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CIT + dividende combinate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~44,2% efectiv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15%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Câștiguri de capital (acțiuni)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28%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0% (reglementate UE/SEE) / 10% altele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Impozit pe avere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AIMI: 0,4%-1% pe proprietăți &gt; 600K EUR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Niciunul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Taxă de ieșire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 (plecări non-UE/SEE)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Niciuna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Membru UE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Zona Euro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 (din 1999)</w:t>
            </w:r>
          </w:p>
        </w:tc>
        <w:tc>
          <w:tcPr>
            <w:tcBorders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 (din ian. 2026)</w:t>
            </w:r>
          </w:p>
        </w:tc>
      </w:tr>
      <w:tr>
        <w:trPr>
          <w:cantSplit/>
          <w:trHeight w:val="576" w:hRule="atLeast"/>
        </w:trPr>
        <w:tc>
          <w:tcPr>
            <w:tcBorders>
              <w:left w:val="none"/>
              <w:bottom w:val="single" w:color="E1E4E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rPr>
                <w:rStyle w:val="MdStrong"/>
                <w:b/>
                <w:bCs/>
              </w:rPr>
              <w:t xml:space="preserve">Schengen</w:t>
            </w:r>
          </w:p>
        </w:tc>
        <w:tc>
          <w:tcPr>
            <w:tcBorders>
              <w:bottom w:val="single" w:color="E1E4E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</w:t>
            </w:r>
          </w:p>
        </w:tc>
        <w:tc>
          <w:tcPr>
            <w:tcBorders>
              <w:bottom w:val="single" w:color="E1E4E8" w:sz="4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pStyle w:val="MdTableCell"/>
            </w:pPr>
            <w:r>
              <w:t xml:space="preserve">Da (din ian. 2025)</w:t>
            </w:r>
          </w:p>
        </w:tc>
      </w:tr>
    </w:tbl>
    <w:p>
      <w:pPr>
        <w:pStyle w:val="Heading2"/>
        <w:pStyle w:val="MdHeading2"/>
      </w:pPr>
      <w:r>
        <w:t xml:space="preserve">Concluzie</w:t>
      </w:r>
    </w:p>
    <w:p>
      <w:pPr>
        <w:pStyle w:val="MdParagraph"/>
      </w:pPr>
      <w:r>
        <w:t xml:space="preserve">Pentru nomazii digitali și antreprenorii care prioritizează </w:t>
      </w:r>
      <w:r>
        <w:rPr>
          <w:rStyle w:val="MdStrong"/>
          <w:b/>
          <w:bCs/>
        </w:rPr>
        <w:t xml:space="preserve">eficiența fiscală, simplitatea administrativă și un cost al vieții redus</w:t>
      </w:r>
      <w:r>
        <w:t xml:space="preserve">, Bulgaria prezintă avantaje semnificative față de Portugalia. Sistemul său fiscal cu cotă unică, procesul rapid de înființare a afacerilor și costurile generale mai mici o fac o destinație atractivă, mai ales în contextul modificărilor recente ale regimului fiscal portughez. Deși Portugalia oferă un stil de viață mediteranean și o comunitate de expați bine stabilită, aceste beneficii pot fi eclipsate de povara fiscală și birocrația mai mare pentru anumite categorii de profesioniști [2].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Referințe</w:t>
      </w:r>
    </w:p>
    <w:p>
      <w:pPr>
        <w:pStyle w:val="MdParagraph"/>
      </w:pPr>
      <w:r>
        <w:t xml:space="preserve">[1] My Start Bulgaria - Bulgaria vs. Portugal: Which EU base makes more sense for digital nomads? (Imagine furnizată)</w:t>
      </w:r>
      <w:r>
        <w:br/>
        <w:t xml:space="preserve">[2] Innovires - Bulgaria vs Portugal Tax Comparison: NHR Is Dead, Now What? (2026) [</w:t>
      </w:r>
      <w:hyperlink w:history="1" r:id="rIdvbcrissuxr25gsca5ylhc">
        <w:r>
          <w:rPr>
            <w:rStyle w:val="MdLink"/>
          </w:rPr>
          <w:t xml:space="preserve">https://innovires.com/tax-residency/blog/bulgaria-vs-portugal-tax-2026.html]</w:t>
        </w:r>
      </w:hyperlink>
      <w:r>
        <w:t xml:space="preserve">
[3] YouTube - Top 5 Low-Tax European Countries for Digital Nomads in 2025 [</w:t>
      </w:r>
      <w:hyperlink w:history="1" r:id="rIdyw3thhj3c2pwjivdetsfh">
        <w:r>
          <w:rPr>
            <w:rStyle w:val="MdLink"/>
          </w:rPr>
          <w:t xml:space="preserve">https://www.youtube.com/watch?v=GCSAOrFvi8k]</w:t>
        </w:r>
      </w:hyperlink>
      <w:r>
        <w:t xml:space="preserve">
[4] Reddit - Bulgaria's Digital Nomad Visa is coming — but the real win might be ... [</w:t>
      </w:r>
      <w:hyperlink w:history="1" r:id="rId1q9k9kt4_8j_lscmbffmh">
        <w:r>
          <w:rPr>
            <w:rStyle w:val="MdLink"/>
          </w:rPr>
          <w:t xml:space="preserve">https://www.reddit.com/r/digitalnomad/comments/1m8srqa/bulgarias_digital_nomad_visa_is_coming_but_the/]</w:t>
        </w:r>
      </w:hyperlink>
      <w:r>
        <w:t xml:space="preserve">
[5] Nomadgate - Portugal Golden Visa vs Bulgaria PR by Investment [</w:t>
      </w:r>
      <w:hyperlink w:history="1" r:id="rIdc1x-rw0ixeq6uknc9issj">
        <w:r>
          <w:rPr>
            <w:rStyle w:val="MdLink"/>
          </w:rPr>
          <w:t xml:space="preserve">https://community.nomadgate.com/t/portugal-golden-visa-vs-bulgaria-pr-by-investment-seeking-recent-experiences/76437]</w:t>
        </w:r>
      </w:hyperlink>
      <w:r>
        <w:t xml:space="preserve">
[6] Remote Work Europe - Bulgaria's new digital nomad visa – what's changed? [</w:t>
      </w:r>
      <w:hyperlink w:history="1" r:id="rIdn0jbfeubsgo4iwxtbslet">
        <w:r>
          <w:rPr>
            <w:rStyle w:val="MdLink"/>
          </w:rPr>
          <w:t xml:space="preserve">https://remoteworkeurope.eu/insights/bulgaria-remotework-visa/]</w:t>
        </w:r>
      </w:hyperlink>
      <w:r>
        <w:t xml:space="preserve">
[7] Numbeo - Cost of Living Comparison between Bulgaria and Portugal [</w:t>
      </w:r>
      <w:hyperlink w:history="1" r:id="rIdg4opjklv98-3i9yi8v5bu">
        <w:r>
          <w:rPr>
            <w:rStyle w:val="MdLink"/>
          </w:rPr>
          <w:t xml:space="preserve">https://www.numbeo.com/cost-of-living/compare_countries_result.jsp?country1=Bulgaria&amp;country2=Portugal]</w:t>
        </w:r>
      </w:hyperlink>
      <w:r>
        <w:t xml:space="preserve">
[8] Livingcost.org - Bulgaria vs Portugal: Cost of Living &amp; Salary comparison [</w:t>
      </w:r>
      <w:hyperlink w:history="1" r:id="rIdln6paarhivo33galcu6wz">
        <w:r>
          <w:rPr>
            <w:rStyle w:val="MdLink"/>
          </w:rPr>
          <w:t xml:space="preserve">https://livingcost.org/cost/bulgaria/portugal]</w:t>
        </w:r>
      </w:hyperlink>
      <w:r>
        <w:t xml:space="preserve">
[9] MyLifeElsewhere.com - Cost of living in Portugal compared to Bulgaria [</w:t>
      </w:r>
      <w:hyperlink w:history="1" r:id="rIdd7rmxovt6tlpyhmcnjj03">
        <w:r>
          <w:rPr>
            <w:rStyle w:val="MdLink"/>
          </w:rPr>
          <w:t xml:space="preserve">https://www.mylifeelsewhere.com/cost-of-living/portugal/bulgaria]</w:t>
        </w:r>
      </w:hyperlink>
      <w:r>
        <w:t xml:space="preserve">
[10] Global Cost Data - Bulgaria vs Portugal Cost of Living Comparison 2026 [</w:t>
      </w:r>
      <w:hyperlink w:history="1" r:id="rIdccftyvqtrddjwwzsvd0ay">
        <w:r>
          <w:rPr>
            <w:rStyle w:val="MdLink"/>
          </w:rPr>
          <w:t xml:space="preserve">https://www.globalcostdata.com/compare/bulgaria-vs-portugal/]</w:t>
        </w:r>
      </w:hyperlink>
      <w:r>
        <w:t xml:space="preserve">
[11] Visa-digital-nomad.com - Portugal tax system in 2025 | Guide 2025 - Digital Nomad Visa [</w:t>
      </w:r>
      <w:hyperlink w:history="1" r:id="rIdbjbt6lfuuieh_rlbabs7a">
        <w:r>
          <w:rPr>
            <w:rStyle w:val="MdLink"/>
          </w:rPr>
          <w:t xml:space="preserve">https://visa-digital-nomad.com/blog/portuguese-tax-system/]</w:t>
        </w:r>
      </w:hyperlink>
      <w:r>
        <w:t xml:space="preserve">
[12] Immigrant Invest - Digital Nomad Taxes: Complete Guide to Rates, Rules, and Benefits [</w:t>
      </w:r>
      <w:hyperlink w:history="1" r:id="rId5tt2tvjojo1knoqrmumlv">
        <w:r>
          <w:rPr>
            <w:rStyle w:val="MdLink"/>
          </w:rPr>
          <w:t xml:space="preserve">https://immigrantinvest.com/blog/digital-nomad-taxes/]</w:t>
        </w:r>
      </w:hyperlink>
      <w:r>
        <w:t xml:space="preserve">
[13] Facebook - How easy is it to set up a business in Bulgaria? I am ... [</w:t>
      </w:r>
      <w:hyperlink w:history="1" r:id="rId025mpocizffanimrrcpye">
        <w:r>
          <w:rPr>
            <w:rStyle w:val="MdLink"/>
          </w:rPr>
          <w:t xml:space="preserve">https://www.facebook.com/groups/1752281848329730/posts/5137789509778930/]</w:t>
        </w:r>
      </w:hyperlink>
      <w:r>
        <w:t xml:space="preserve">
[14] Company-registration.bg - Company Registration Bulgaria : Expert Help for Entrepreneurs [</w:t>
      </w:r>
      <w:hyperlink w:history="1" r:id="rIdmwz0commrtlbs9xib-qiu">
        <w:r>
          <w:rPr>
            <w:rStyle w:val="MdLink"/>
          </w:rPr>
          <w:t xml:space="preserve">https://company-registration.bg/]</w:t>
        </w:r>
      </w:hyperlink>
      <w:r>
        <w:t xml:space="preserve">
[15] Wage.is - Bulgaria vs Portugal Wages — Feb 2026 [</w:t>
      </w:r>
      <w:hyperlink w:history="1" r:id="rId0slzzpfcjmyuciw6sqev-">
        <w:r>
          <w:rPr>
            <w:rStyle w:val="MdLink"/>
          </w:rPr>
          <w:t xml:space="preserve">https://wage.is/bulgaria/vs/portugal/]</w:t>
        </w:r>
      </w:hyperlink>
      <w:r>
        <w:t xml:space="preserve">
[16] YouTube - How to Open a Business in Bulgaria for Expats [Q&amp;A 2021] [</w:t>
      </w:r>
      <w:hyperlink w:history="1" r:id="rId3bhhpayoepbyltrtj9w7c">
        <w:r>
          <w:rPr>
            <w:rStyle w:val="MdLink"/>
          </w:rPr>
          <w:t xml:space="preserve">https://www.youtube.com/watch?v=700dJ_RV6oM]</w:t>
        </w:r>
      </w:hyperlink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"/>
      <w:lvlJc w:val="left"/>
      <w:pPr>
        <w:ind w:left="720" w:hanging="360"/>
      </w:pPr>
    </w:lvl>
    <w:lvl w:ilvl="1" w15:tentative="1">
      <w:start w:val="1"/>
      <w:numFmt w:val="decimal"/>
      <w:lvlText w:val="%1.%2"/>
      <w:lvlJc w:val="left"/>
      <w:pPr>
        <w:ind w:left="1440" w:hanging="360"/>
      </w:pPr>
    </w:lvl>
    <w:lvl w:ilvl="2" w15:tentative="1">
      <w:start w:val="1"/>
      <w:numFmt w:val="decimal"/>
      <w:lvlText w:val="%1.%2.%3"/>
      <w:lvlJc w:val="left"/>
      <w:pPr>
        <w:ind w:left="2160" w:hanging="360"/>
      </w:pPr>
    </w:lvl>
    <w:lvl w:ilvl="3" w15:tentative="1">
      <w:start w:val="1"/>
      <w:numFmt w:val="decimal"/>
      <w:lvlText w:val="%4)"/>
      <w:lvlJc w:val="left"/>
      <w:pPr>
        <w:ind w:left="2880" w:hanging="360"/>
      </w:pPr>
    </w:lvl>
    <w:lvl w:ilvl="4" w15:tentative="1">
      <w:start w:val="1"/>
      <w:numFmt w:val="decimal"/>
      <w:lvlText w:val="%5)"/>
      <w:lvlJc w:val="left"/>
      <w:pPr>
        <w:ind w:left="3600" w:hanging="360"/>
      </w:pPr>
    </w:lvl>
    <w:lvl w:ilvl="5" w15:tentative="1">
      <w:start w:val="1"/>
      <w:numFmt w:val="decimal"/>
      <w:lvlText w:val="%6)"/>
      <w:lvlJc w:val="left"/>
      <w:pPr>
        <w:ind w:left="4320" w:hanging="360"/>
      </w:pPr>
    </w:lvl>
    <w:lvl w:ilvl="6" w15:tentative="1">
      <w:start w:val="1"/>
      <w:numFmt w:val="decimal"/>
      <w:lvlText w:val="%7)"/>
      <w:lvlJc w:val="left"/>
      <w:pPr>
        <w:ind w:left="5040" w:hanging="360"/>
      </w:pPr>
    </w:lvl>
    <w:lvl w:ilvl="7" w15:tentative="1">
      <w:start w:val="1"/>
      <w:numFmt w:val="decimal"/>
      <w:lvlText w:val="%8)"/>
      <w:lvlJc w:val="left"/>
      <w:pPr>
        <w:ind w:left="5760" w:hanging="360"/>
      </w:pPr>
    </w:lvl>
    <w:lvl w:ilvl="8" w15:tentative="1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  <w:lvl w:ilvl="2" w15:tentative="1">
      <w:start w:val="1"/>
      <w:numFmt w:val="bullet"/>
      <w:lvlText w:val="•"/>
      <w:lvlJc w:val="left"/>
      <w:pPr>
        <w:ind w:left="2160" w:hanging="360"/>
      </w:pPr>
    </w:lvl>
    <w:lvl w:ilvl="3" w15:tentative="1">
      <w:start w:val="1"/>
      <w:numFmt w:val="bullet"/>
      <w:lvlText w:val="◦"/>
      <w:lvlJc w:val="left"/>
      <w:pPr>
        <w:ind w:left="2880" w:hanging="360"/>
      </w:pPr>
    </w:lvl>
    <w:lvl w:ilvl="4" w15:tentative="1">
      <w:start w:val="1"/>
      <w:numFmt w:val="bullet"/>
      <w:lvlText w:val="•"/>
      <w:lvlJc w:val="left"/>
      <w:pPr>
        <w:ind w:left="3600" w:hanging="360"/>
      </w:pPr>
    </w:lvl>
    <w:lvl w:ilvl="5" w15:tentative="1">
      <w:start w:val="1"/>
      <w:numFmt w:val="bullet"/>
      <w:lvlText w:val="◦"/>
      <w:lvlJc w:val="left"/>
      <w:pPr>
        <w:ind w:left="4320" w:hanging="360"/>
      </w:pPr>
    </w:lvl>
    <w:lvl w:ilvl="6" w15:tentative="1">
      <w:start w:val="1"/>
      <w:numFmt w:val="bullet"/>
      <w:lvlText w:val="•"/>
      <w:lvlJc w:val="left"/>
      <w:pPr>
        <w:ind w:left="50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MdSpace">
    <w:name w:val="MdSpace"/>
    <w:basedOn w:val="Normal"/>
    <w:next w:val="Normal"/>
    <w:qFormat/>
    <w:pPr>
      <w:spacing w:before="0" w:after="0"/>
    </w:pPr>
    <w:rPr>
      <w:sz w:val="12"/>
      <w:szCs w:val="12"/>
    </w:rPr>
  </w:style>
  <w:style w:type="paragraph" w:styleId="MdCode">
    <w:name w:val="MdCode"/>
    <w:basedOn w:val="Normal"/>
    <w:next w:val="Normal"/>
    <w:qFormat/>
    <w:pPr>
      <w:pBdr>
        <w:top w:val="single" w:color="A5A5A5" w:sz="1" w:space="8"/>
        <w:bottom w:val="single" w:color="A5A5A5" w:sz="1" w:space="8"/>
        <w:left w:val="single" w:color="A5A5A5" w:sz="1" w:space="8"/>
        <w:right w:val="single" w:color="A5A5A5" w:sz="1" w:space="8"/>
      </w:pBdr>
      <w:spacing w:before="200" w:after="200"/>
    </w:pPr>
    <w:rPr>
      <w:rFonts w:ascii="Courier New" w:cs="Courier New" w:eastAsia="Courier New" w:hAnsi="Courier New"/>
      <w:color w:val="70AD47"/>
      <w:sz w:val="22"/>
      <w:szCs w:val="22"/>
    </w:rPr>
  </w:style>
  <w:style w:type="paragraph" w:styleId="MdHr">
    <w:name w:val="MdHr"/>
    <w:basedOn w:val="Normal"/>
    <w:next w:val="Normal"/>
    <w:qFormat/>
    <w:pPr>
      <w:pBdr>
        <w:bottom w:val="single" w:color="A5A5A5" w:sz="1" w:space="1"/>
      </w:pBdr>
      <w:spacing w:before="240" w:after="240"/>
    </w:pPr>
  </w:style>
  <w:style w:type="paragraph" w:styleId="MdBlockquote">
    <w:name w:val="MdBlockquote"/>
    <w:basedOn w:val="Normal"/>
    <w:next w:val="Normal"/>
    <w:qFormat/>
    <w:pPr>
      <w:pBdr>
        <w:left w:val="single" w:color="A5A5A5" w:sz="20" w:space="12"/>
      </w:pBdr>
      <w:spacing w:before="200" w:after="200"/>
      <w:ind w:left="360"/>
    </w:pPr>
    <w:rPr>
      <w:i/>
      <w:iCs/>
      <w:color w:val="666666"/>
    </w:rPr>
  </w:style>
  <w:style w:type="paragraph" w:styleId="MdHtml">
    <w:name w:val="MdHtml"/>
    <w:basedOn w:val="Normal"/>
    <w:next w:val="Normal"/>
    <w:qFormat/>
    <w:rPr>
      <w:rFonts w:ascii="Courier New" w:cs="Courier New" w:eastAsia="Courier New" w:hAnsi="Courier New"/>
      <w:color w:val="ED7D31"/>
    </w:rPr>
  </w:style>
  <w:style w:type="paragraph" w:styleId="MdDef">
    <w:name w:val="MdDef"/>
    <w:basedOn w:val="Normal"/>
    <w:next w:val="Normal"/>
    <w:qFormat/>
    <w:pPr>
      <w:ind w:left="720" w:hanging="360"/>
    </w:pPr>
  </w:style>
  <w:style w:type="paragraph" w:styleId="MdParagraph">
    <w:name w:val="MdParagraph"/>
    <w:basedOn w:val="Normal"/>
    <w:next w:val="Normal"/>
    <w:qFormat/>
    <w:pPr>
      <w:spacing w:before="120" w:after="120"/>
    </w:pPr>
  </w:style>
  <w:style w:type="paragraph" w:styleId="MdText">
    <w:name w:val="MdText"/>
    <w:basedOn w:val="Normal"/>
    <w:next w:val="Normal"/>
    <w:qFormat/>
  </w:style>
  <w:style w:type="paragraph" w:styleId="MdFootnote">
    <w:name w:val="MdFootnote"/>
    <w:basedOn w:val="Normal"/>
    <w:next w:val="Normal"/>
    <w:qFormat/>
    <w:rPr>
      <w:vertAlign w:val="superscript"/>
    </w:rPr>
  </w:style>
  <w:style w:type="paragraph" w:styleId="MdListItem">
    <w:name w:val="MdListItem"/>
    <w:basedOn w:val="Normal"/>
    <w:next w:val="Normal"/>
    <w:qFormat/>
    <w:pPr>
      <w:spacing w:before="60" w:after="60"/>
      <w:ind w:left="720" w:hanging="360"/>
    </w:pPr>
  </w:style>
  <w:style w:type="paragraph" w:styleId="MdTable">
    <w:name w:val="MdTable"/>
    <w:basedOn w:val="Normal"/>
    <w:next w:val="Normal"/>
    <w:qFormat/>
    <w:pPr>
      <w:spacing w:before="60" w:after="60"/>
    </w:pPr>
  </w:style>
  <w:style w:type="paragraph" w:styleId="MdTableHeader">
    <w:name w:val="MdTableHeader"/>
    <w:basedOn w:val="Normal"/>
    <w:next w:val="Normal"/>
    <w:qFormat/>
    <w:pPr>
      <w:spacing w:before="60" w:after="60"/>
    </w:pPr>
    <w:rPr>
      <w:b/>
      <w:bCs/>
      <w:sz w:val="22"/>
      <w:szCs w:val="22"/>
    </w:rPr>
  </w:style>
  <w:style w:type="paragraph" w:styleId="MdTableCell">
    <w:name w:val="MdTableCell"/>
    <w:basedOn w:val="Normal"/>
    <w:next w:val="Normal"/>
    <w:qFormat/>
    <w:pPr>
      <w:spacing w:before="40" w:after="40"/>
    </w:pPr>
    <w:rPr>
      <w:sz w:val="20"/>
      <w:szCs w:val="20"/>
    </w:rPr>
  </w:style>
  <w:style w:type="paragraph" w:styleId="MdHeading1">
    <w:name w:val="MdHeading1"/>
    <w:basedOn w:val="Normal"/>
    <w:next w:val="Normal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styleId="MdHeading2">
    <w:name w:val="MdHeading2"/>
    <w:basedOn w:val="Normal"/>
    <w:next w:val="Normal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styleId="MdHeading3">
    <w:name w:val="MdHeading3"/>
    <w:basedOn w:val="Normal"/>
    <w:next w:val="Normal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styleId="MdHeading4">
    <w:name w:val="MdHeading4"/>
    <w:basedOn w:val="Normal"/>
    <w:next w:val="Normal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styleId="MdHeading5">
    <w:name w:val="MdHeading5"/>
    <w:basedOn w:val="Normal"/>
    <w:next w:val="Normal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styleId="MdHeading6">
    <w:name w:val="MdHeading6"/>
    <w:basedOn w:val="Normal"/>
    <w:next w:val="Normal"/>
    <w:qFormat/>
    <w:pPr>
      <w:keepNext/>
      <w:spacing w:before="240" w:after="120"/>
      <w:outlineLvl w:val="5"/>
    </w:pPr>
    <w:rPr>
      <w:b w:val="false"/>
      <w:bCs w:val="false"/>
      <w:i/>
      <w:iCs/>
      <w:sz w:val="24"/>
      <w:szCs w:val="24"/>
    </w:rPr>
  </w:style>
  <w:style w:type="character" w:styleId="MdTag">
    <w:name w:val="MdTag"/>
    <w:basedOn w:val="Normal"/>
    <w:next w:val="Normal"/>
    <w:uiPriority w:val="99"/>
    <w:unhideWhenUsed/>
    <w:qFormat/>
    <w:rPr>
      <w:rFonts w:ascii="Courier New" w:cs="Courier New" w:eastAsia="Courier New" w:hAnsi="Courier New"/>
      <w:color w:val="ED7D31"/>
    </w:rPr>
  </w:style>
  <w:style w:type="character" w:styleId="MdLink">
    <w:name w:val="MdLink"/>
    <w:basedOn w:val="Normal"/>
    <w:next w:val="Normal"/>
    <w:uiPriority w:val="99"/>
    <w:unhideWhenUsed/>
    <w:qFormat/>
    <w:rPr>
      <w:color w:val="0563C1"/>
      <w:u w:val="single"/>
    </w:rPr>
  </w:style>
  <w:style w:type="character" w:styleId="MdStrong">
    <w:name w:val="MdStrong"/>
    <w:basedOn w:val="Normal"/>
    <w:next w:val="Normal"/>
    <w:uiPriority w:val="99"/>
    <w:unhideWhenUsed/>
    <w:qFormat/>
    <w:rPr>
      <w:b/>
      <w:bCs/>
    </w:rPr>
  </w:style>
  <w:style w:type="character" w:styleId="MdEm">
    <w:name w:val="MdEm"/>
    <w:basedOn w:val="Normal"/>
    <w:next w:val="Normal"/>
    <w:uiPriority w:val="99"/>
    <w:unhideWhenUsed/>
    <w:qFormat/>
    <w:rPr>
      <w:i/>
      <w:iCs/>
    </w:rPr>
  </w:style>
  <w:style w:type="character" w:styleId="MdCodespan">
    <w:name w:val="MdCodespan"/>
    <w:basedOn w:val="Normal"/>
    <w:next w:val="Normal"/>
    <w:uiPriority w:val="99"/>
    <w:unhideWhenUsed/>
    <w:qFormat/>
    <w:rPr>
      <w:rFonts w:ascii="Courier New" w:cs="Courier New" w:eastAsia="Courier New" w:hAnsi="Courier New"/>
      <w:color w:val="70AD47"/>
    </w:rPr>
  </w:style>
  <w:style w:type="character" w:styleId="MdDel">
    <w:name w:val="MdDel"/>
    <w:basedOn w:val="Normal"/>
    <w:next w:val="Normal"/>
    <w:uiPriority w:val="99"/>
    <w:unhideWhenUsed/>
    <w:qFormat/>
    <w:rPr>
      <w:strike/>
    </w:rPr>
  </w:style>
  <w:style w:type="character" w:styleId="MdBr">
    <w:name w:val="MdBr"/>
    <w:basedOn w:val="Normal"/>
    <w:next w:val="Normal"/>
    <w:uiPriority w:val="99"/>
    <w:unhideWhenUsed/>
    <w:qFormat/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vbcrissuxr25gsca5ylhc" Type="http://schemas.openxmlformats.org/officeDocument/2006/relationships/hyperlink" Target="https://innovires.com/tax-residency/blog/bulgaria-vs-portugal-tax-2026.html]" TargetMode="External"/><Relationship Id="rIdyw3thhj3c2pwjivdetsfh" Type="http://schemas.openxmlformats.org/officeDocument/2006/relationships/hyperlink" Target="https://www.youtube.com/watch?v=GCSAOrFvi8k]" TargetMode="External"/><Relationship Id="rId1q9k9kt4_8j_lscmbffmh" Type="http://schemas.openxmlformats.org/officeDocument/2006/relationships/hyperlink" Target="https://www.reddit.com/r/digitalnomad/comments/1m8srqa/bulgarias_digital_nomad_visa_is_coming_but_the/]" TargetMode="External"/><Relationship Id="rIdc1x-rw0ixeq6uknc9issj" Type="http://schemas.openxmlformats.org/officeDocument/2006/relationships/hyperlink" Target="https://community.nomadgate.com/t/portugal-golden-visa-vs-bulgaria-pr-by-investment-seeking-recent-experiences/76437]" TargetMode="External"/><Relationship Id="rIdn0jbfeubsgo4iwxtbslet" Type="http://schemas.openxmlformats.org/officeDocument/2006/relationships/hyperlink" Target="https://remoteworkeurope.eu/insights/bulgaria-remotework-visa/]" TargetMode="External"/><Relationship Id="rIdg4opjklv98-3i9yi8v5bu" Type="http://schemas.openxmlformats.org/officeDocument/2006/relationships/hyperlink" Target="https://www.numbeo.com/cost-of-living/compare_countries_result.jsp?country1=Bulgaria&amp;country2=Portugal]" TargetMode="External"/><Relationship Id="rIdln6paarhivo33galcu6wz" Type="http://schemas.openxmlformats.org/officeDocument/2006/relationships/hyperlink" Target="https://livingcost.org/cost/bulgaria/portugal]" TargetMode="External"/><Relationship Id="rIdd7rmxovt6tlpyhmcnjj03" Type="http://schemas.openxmlformats.org/officeDocument/2006/relationships/hyperlink" Target="https://www.mylifeelsewhere.com/cost-of-living/portugal/bulgaria]" TargetMode="External"/><Relationship Id="rIdccftyvqtrddjwwzsvd0ay" Type="http://schemas.openxmlformats.org/officeDocument/2006/relationships/hyperlink" Target="https://www.globalcostdata.com/compare/bulgaria-vs-portugal/]" TargetMode="External"/><Relationship Id="rIdbjbt6lfuuieh_rlbabs7a" Type="http://schemas.openxmlformats.org/officeDocument/2006/relationships/hyperlink" Target="https://visa-digital-nomad.com/blog/portuguese-tax-system/]" TargetMode="External"/><Relationship Id="rId5tt2tvjojo1knoqrmumlv" Type="http://schemas.openxmlformats.org/officeDocument/2006/relationships/hyperlink" Target="https://immigrantinvest.com/blog/digital-nomad-taxes/]" TargetMode="External"/><Relationship Id="rId025mpocizffanimrrcpye" Type="http://schemas.openxmlformats.org/officeDocument/2006/relationships/hyperlink" Target="https://www.facebook.com/groups/1752281848329730/posts/5137789509778930/]" TargetMode="External"/><Relationship Id="rIdmwz0commrtlbs9xib-qiu" Type="http://schemas.openxmlformats.org/officeDocument/2006/relationships/hyperlink" Target="https://company-registration.bg/]" TargetMode="External"/><Relationship Id="rId0slzzpfcjmyuciw6sqev-" Type="http://schemas.openxmlformats.org/officeDocument/2006/relationships/hyperlink" Target="https://wage.is/bulgaria/vs/portugal/]" TargetMode="External"/><Relationship Id="rId3bhhpayoepbyltrtj9w7c" Type="http://schemas.openxmlformats.org/officeDocument/2006/relationships/hyperlink" Target="https://www.youtube.com/watch?v=700dJ_RV6oM]" TargetMode="External"/><Relationship Id="rId21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Un-named</cp:lastModifiedBy>
  <cp:revision>1</cp:revision>
  <dcterms:created xsi:type="dcterms:W3CDTF">2026-06-13T06:54:16.834Z</dcterms:created>
  <dcterms:modified xsi:type="dcterms:W3CDTF">2026-06-13T06:54:16.834Z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